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6S.337/2003 vom 14. November 2003</w:t>
      </w:r>
    </w:p>
    <w:p>
      <w:r>
        <w:t>Bundesgericht, 2003-11-14, DE</w:t>
      </w:r>
    </w:p>
    <w:p>
      <w:r>
        <w:rPr>
          <w:b/>
        </w:rPr>
        <w:t xml:space="preserve">Quelle: </w:t>
      </w:r>
      <w:r>
        <w:t>https://mcp.opencaselaw.ch/entscheid/bger_6S.337_2003</w:t>
      </w:r>
    </w:p>
    <w:p>
      <w:r>
        <w:t>FR: TF 6S.337/2003 du 14 novembre 2003</w:t>
      </w:r>
    </w:p>
    <w:p>
      <w:r>
        <w:t>IT: TF 6S.337/2003 del 14 novembre 2003</w:t>
      </w:r>
    </w:p>
    <w:p>
      <w:pPr>
        <w:pStyle w:val="Heading2"/>
      </w:pPr>
      <w:r>
        <w:t>Erwägungen</w:t>
      </w:r>
    </w:p>
    <w:p>
      <w:r>
        <w:rPr>
          <w:b/>
        </w:rPr>
        <w:t>E. 1</w:t>
      </w:r>
    </w:p>
    <w:p>
      <w:r>
        <w:t>Bereits gegenüber den Vorinstanzen brachte der Beschwerdeführer vor, die betreffende Einbahnstrasse beginne nicht auf der Höhe der Wartelinie, welche entlang der um den Bahnhofplatz führenden Strasse und damit schräg angebracht sei, sondern auf der Höhe des zurückversetzten Signals "Einfahrt verboten". Indem er den Bereich zwischen der vorversetzten Wartelinie und dem Signal befahren habe, habe er das Signal nicht missachtet. Die Wartelinie und das Signal für die Einbahnstrasse würden nicht zusammenhängen, weshalb die Wartelinie den Geltungsbereich des Signals nicht erweitern könne. Der Schuldspruch verletze Bundesrecht (Beschwerde, S. 5 ff.).</w:t>
      </w:r>
    </w:p>
    <w:p>
      <w:r>
        <w:rPr>
          <w:b/>
        </w:rPr>
        <w:t>E. 1.1</w:t>
      </w:r>
    </w:p>
    <w:p>
      <w:r>
        <w:t>Signale und Markierungen sowie die Weisungen der Polizei sind zu befolgen ( Art. 27 Abs. 1 SVG ). Nach Art. 103 Abs. 1 der Signalisationsverordnung vom 5. September 1979 (SSV, SR 741.21) stehen Signale am rechten Strassenrand. Sie können am linken Strassenrand wiederholt, über die Fahrbahn gehängt, auf Inseln gestellt oder in zwingenden Ausnahmefällen ausschliesslich links angebracht werden. Gemäss Abs. 2 der Norm werden Signale so aufgestellt, dass sie rechtzeitig erkannt und nicht durch Hindernisse verdeckt werden.</w:t>
      </w:r>
    </w:p>
    <w:p>
      <w:r>
        <w:t>Vorschriftssignale im Sinne von Art. 16 Abs. 1 SSV gelten gemäss Abs. 2 dieser Bestimmung unter Vorbehalt abweichender Bestimmungen an der Stelle oder von der Stelle an, wo das Signal steht, bis zum Ende der nächsten Verzweigung. Soll die angekündigte Vorschrift weiter gelten, wird das Signal dort wiederholt. Nach Art. 18 Abs. 3 SSV zeigt das Signal "Einfahrt verboten" (2.02, Anhang SSV) an, dass die Einfahrt für alle Fahrzeuge verboten, der Verkehr aus der Gegenrichtung jedoch gestattet ist. Am andern Ende der Strasse steht das "Signal Einbahnstrasse" (4.08, Anhang SSV). Diese Vorschriften werden durch Art. 37 Abs. 3 VRV (SR 741.11) ergänzt, wonach der Fahrzeugführer auf Einbahnstrassen nicht rückwärts fahren darf, ausser beim Parkieren, Ankuppeln von Anhängern und dergleichen.</w:t>
      </w:r>
    </w:p>
    <w:p>
      <w:r>
        <w:rPr>
          <w:b/>
        </w:rPr>
        <w:t>E. 1.2</w:t>
      </w:r>
    </w:p>
    <w:p>
      <w:r>
        <w:t>Gemäss den verbindlichen tatsächlichen Feststellungen der Vorinstanz überfuhr der Beschwerdeführer beim Rückwärtsfahren zum Parkieren die Wartelinie der Einbahnstrasse. Da er sich vor dem Rückwärtsfahren noch nicht in der Strasse selbst befand, findet die Ausnahmevorschrift von Art. 37 Abs. 3 VRV keine Anwendung.</w:t>
      </w:r>
    </w:p>
    <w:p>
      <w:r>
        <w:t>Die fragliche Strasse ist zweispurig. Vor dem Bahnhofplatz trennt eine Insel die beiden Spuren. Die dem Hotel Schweizerhof am nächsten liegende Spur mündet in eine von links kommende und um den Bahnhofplatz führende Strasse ein. Diese beschreibt eine langgezogene Linkskurve. Die Markierung der Wartelinie folgt der Kurve, weshalb deren beiden Enden nicht auf der gleichen Höhe stehen. Aus der Sicht des die Einbahnstrasse befahrenden Verkehrs steht das Signal "Einfahrt" verboten" vor der Strassenmündung links auf einer Insel in der Mitte der Strasse (die andere Fahrspur darf vom Gegenverkehr befahren werden). Es steht im Verhältnis zum Beginn der Wartelinie auf der gegenüberliegenden Strassenseite am Trottoirrand deutlich zurückversetzt (vgl. Urteil Gerichtskreis VIII Bern-Laupen, S. 1 ff.).</w:t>
      </w:r>
    </w:p>
    <w:p>
      <w:r>
        <w:t>Die Vorinstanzen haben zutreffend angenommen, dass das Fahrverbot ab der äussersten Markierung der Wartelinie am Trottoirrand vor dem Hotel Schweizerhof gilt und nicht erst auf der Höhe des zurückversetzten Signals. Stehen die beiden äusseren Endpunkte einer Strasse bzw. Fahrspur wie hier auf Grund der Strassenlage nicht auf der gleichen Höhe, genügt es, das Signal "Einfahrt verboten" seitlich an einem der beiden Enden anzubringen. Wie die Vorinstanzen überzeugend darlegen, diente das Aufstellen der Signaltafel auf einer Insel der besseren Erkennbarkeit des Signals. Nur dort ist das Signal für alle Verkehrsteilnehmer, die das Verbindungsstück zur Spitalstrasse in der verbotenen Richtung zu befahren beabsichtigten, klar erkennbar, während dies auf der rechten Strassenseite nicht der Fall wäre (Urteil Gerichtskreis VIII Bern-Laupen, S. 3 f.; angefochtenes Urteil, S. 7). Da der aktuelle Standort aus Gründen der Verkehrsführung und Verkehrsregelung optimal ist, lag ein Grund im Sinne von Art. 103 Abs. 1 SSV vor, der das Aufstellen des Signals auf der linken statt der rechten Strassenseite erlaubte ( Art. 103 Abs. 1 SSV ). Daran vermag der Umstand, dass es sich dabei um das kürzere eine Ende der Einbahnspur handelte, nichts zu ändern. Das Gesetz schreibt keine Pflicht fest, in solchen Situationen auf beiden Seiten ein Signal aufzustellen.</w:t>
      </w:r>
    </w:p>
    <w:p>
      <w:r>
        <w:t>Das Signal "Einfahrt verboten" stand hier vorschriftsgemäss am einen Ende der betreffenden Strasse ( Art. 18 Abs. 3 SSV ). Dies begründet eine Ausnahme von der Regelung des Art. 16 Abs. 2 SSV , zumal das Signal sehr gut erkennbar und optisch durch die Wartelinie klar mit der anderen Strassenseite verbunden war. In Fällen wie hier markiert nicht das Signal selbst, sondern das längere Ende der Einmündung den Beginn der Einbahnstrasse. Die Signalisation gilt entsprechend vom Anfang der Einbahnstrasse an. Die Verurteilung des Beschwerdeführers verletzt kein Bundesrecht.</w:t>
      </w:r>
    </w:p>
    <w:p>
      <w:r>
        <w:rPr>
          <w:b/>
        </w:rPr>
        <w:t>E. 2</w:t>
      </w:r>
    </w:p>
    <w:p>
      <w:r>
        <w:t>Die Beschwerde ist abzuweisen, soweit darauf eingetreten werden kann. Dementsprechend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