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6S.335/2005 vom 25. September 2005</w:t>
      </w:r>
    </w:p>
    <w:p>
      <w:r>
        <w:t>Bundesgericht, 2005-09-25, FR</w:t>
      </w:r>
    </w:p>
    <w:p>
      <w:r>
        <w:rPr>
          <w:b/>
        </w:rPr>
        <w:t xml:space="preserve">Quelle: </w:t>
      </w:r>
      <w:r>
        <w:t>https://mcp.opencaselaw.ch/entscheid/bger_6S.335_2005</w:t>
      </w:r>
    </w:p>
    <w:p>
      <w:r>
        <w:t>FR: TF 6S.335/2005 du 25 septembre 2005</w:t>
      </w:r>
    </w:p>
    <w:p>
      <w:r>
        <w:t>IT: TF 6S.335/2005 del 25 settembre 2005</w:t>
      </w:r>
    </w:p>
    <w:p>
      <w:pPr>
        <w:pStyle w:val="Heading2"/>
      </w:pPr>
      <w:r>
        <w:t>Regeste</w:t>
      </w:r>
    </w:p>
    <w:p>
      <w:r>
        <w:t>Fixation de la peine (art. 63 CP) | Droit pénal (en général)</w:t>
      </w:r>
    </w:p>
    <w:p>
      <w:pPr>
        <w:pStyle w:val="Heading2"/>
      </w:pPr>
      <w:r>
        <w:t>Erwägungen</w:t>
      </w:r>
    </w:p>
    <w:p>
      <w:r>
        <w:rPr>
          <w:b/>
        </w:rPr>
        <w:t>E. 1.1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références citées). Les éléments pertinents pour la fixation de la peine ont été exposés de manière détaillée dans les ATF 117 IV 112 consid. 1 et 116 IV 288 consid. 2a et rappelés récemment dans l' ATF 129 IV 6 consid. 6.1, auxquels on peut donc se référer.</w:t>
      </w:r>
    </w:p>
    <w:p>
      <w:r>
        <w:rPr>
          <w:b/>
        </w:rPr>
        <w:t>E. 1.2</w:t>
      </w:r>
    </w:p>
    <w:p>
      <w:r>
        <w:t>En matière de stupéfiants, la quantité de drogue, même si elle ne joue pas un rôle prépondérant, constitue un élément important. Elle perd cependant de l'importance au fur et à mesure que l'on s'éloigne de la limite à partir de laquelle le cas doit être considéré comme grave au sens de l' art. 19 ch. 2 let. a LStup . Il en va de même lorsque plusieurs des circonstances aggravantes prévues à l' art. 19 ch. 2 LStup sont réalisées. Le type de drogue et sa pureté doivent aussi être pris en considération.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 ATF 122 IV 299 consid. 2b p. 301). Il faudra enfin tenir compte des antécédents, qui comprennent aussi bien les condamnations antérieures que les circonstances de la vie passée.</w:t>
      </w:r>
    </w:p>
    <w:p>
      <w:r>
        <w:rPr>
          <w:b/>
        </w:rPr>
        <w:t>E. 1.3</w:t>
      </w:r>
    </w:p>
    <w:p>
      <w:r>
        <w:t>Une inégalité de traitement dans la fixation de la peine peut être invoquée dans un pourvoi en nullité. Compte tenu des nombreux paramètres qui interviennent dans la fixation de la peine, une comparaison avec d'autres cas concrets est cependant d'emblée délicate et le plus souvent stérile, dès lors qu'il existe presque toujours des différences entre les circonstances, objectives et subjectives, que le juge doit prendre en considération dans chacun des cas. Il ne suffirait d'ailleurs pas que le recourant puisse invoquer un cas où une peine particulièrement clémente a été fixée pour prétendre à un droit à l'égalité de traitement ( ATF 120 IV 136 consid. 3a p. 144 et les arrêts cités). L'idée de ne pas créer un écart trop important entre deux coaccusés qui ont participé ensemble au même complexe de faits délictueux est néanmoins soutenable ( ATF 123 IV 150 consid. 2b p. 154).</w:t>
      </w:r>
    </w:p>
    <w:p>
      <w:r>
        <w:rPr>
          <w:b/>
        </w:rPr>
        <w:t>E. 2</w:t>
      </w:r>
    </w:p>
    <w:p>
      <w:r>
        <w:t>Le Ministère public considère que la peine de treize ans de réclusion prononcée contre B.________ est arbitrairement clémente compte tenu de la gravité des actes et des peines infligées à ses coaccusés, C.________ et D.________, ces derniers ayant eu des rôles moindres.</w:t>
      </w:r>
    </w:p>
    <w:p>
      <w:r>
        <w:rPr>
          <w:b/>
        </w:rPr>
        <w:t>E. 2.1</w:t>
      </w:r>
    </w:p>
    <w:p>
      <w:r>
        <w:t>La Cour de cassation a tenu compte des rôles respectifs de chaque coaccusé au sein du trafic et des éléments à charge et à décharge pour chacun d'eux. Elle a ainsi considéré que la faute de l'intimé était plus grave et lui a infligé une peine de treize ans de réclusion, alors qu'elle a condamné C.________ à neuf ans de réclusion et D.________ à huit ans et demi de réclusion. La différence entre ces sanctions n'est pas négligeable. Par ailleurs, la peine prononcée contre l'intimé n'apparaît pas exagérément clémente au regard des fautes commises par ses coaccusés, lesquelles fautes sont loin d'être légères. En effet, même si elle n'a pas agi uniquement par appât du gain, C.________ a quand même joué un rôle important dans le trafic. Elle s'est chargée de recruter les mules, qui ont ramené au moins 28 kilos de cocaïne du Brésil. Elle les a accompagnées, puis a récupéré la marchandise. Elle a convoyé des stupéfiants en Italie. Elle a aussi mis à disposition le compte de sa société pour effectuer des transferts d'argent provenant du trafic. A charge, elle a trois antécédents judiciaires. Quant à D.________, il a non seulement participé à l'acquisition de 250 grammes de cocaïne, mais a surtout permis, grâce à ses contacts, d'écouler la cocaïne en Italie. Il a agi par appât du gain et pour acquérir des stupéfiants pour sa propre consommation. A charge, il a aussi cinq antécédents judiciaires. Il a notamment été condamné, en 1994, à huit ans de réclusion, pour infraction grave à la LStup, vol en bande, escroquerie par métier, recel, faux dans les titres et faux dans les certificats, acquisition et prise en dépôt de fausse monnaie qualifiée et mise en circulation de fausse monnaie. En outre, C.________ et D.________ ont également commis d'autres infractions (cf. supra consid. A) auxquelles l'intimé n'a pas participé. Au regard de ces éléments, on ne peut parler d'une inégalité de traitement injustifiée dans la fixation des peines.</w:t>
      </w:r>
    </w:p>
    <w:p>
      <w:r>
        <w:rPr>
          <w:b/>
        </w:rPr>
        <w:t>E. 2.2</w:t>
      </w:r>
    </w:p>
    <w:p>
      <w:r>
        <w:t>La peine ayant été fixée dans le cadre légal, en suivant les critères posés par l' art. 63 CP et sans se laisser guider par des considérations étrangères à cette disposition, il reste à examiner si elle est exagérément clémente au point de constituer un abus du pouvoir d'appréciation. En raison des infractions retenues (cf. supra consid. A), l'intimé encourait une peine maximale de 20 ans de réclusion. Sa faute est très lourde. En prison jusqu'au 17 juillet 2001, il a organisé un trafic de stupéfiants depuis sa cellule avec A.________ avec qui il était détenu. Il a eu une position élevée dans le trafic, qui a porté sur une quantité de drogue très importante. Il a constitué le lien principal entre l'organisation criminelle et les coaccusés. Il s'est trouvé en Europe pour réceptionner les mules envoyées depuis le Brésil par ses frères. Il a agi au niveau de l'importation et du paiement de la marchandise. En revanche, contrairement à A.________, il n'a pas participé au transport et à la vente de la cocaïne et n'a donc pas fait preuve du même activisme. Il n'a pas non plus commis d'infraction dans d'autres domaines. A charge, l'intimé a déjà été condamné, le 26 avril 1999, à cinq ans de réclusion, pour violation de la LStup. Il faut également tenir compte de la récidive, du concours d'infractions, du fait qu'il a agi par appât du gain et que, malgré quelques aveux aux débats, il a minimisé son implication dans le trafic, dénotant ainsi une faible prise de conscience de la gravité de ses fautes. Compte tenu de ces éléments, la peine de treize ans de réclusion n'apparaît pas clémente au point de constituer un abus du large pouvoir d'appréciation accordé à l'autorité cantonale.</w:t>
      </w:r>
    </w:p>
    <w:p>
      <w:r>
        <w:rPr>
          <w:b/>
        </w:rPr>
        <w:t>E. 3</w:t>
      </w:r>
    </w:p>
    <w:p>
      <w:r>
        <w:t>En conclusion, le pourvoi est rejeté. Il n'est pas réclamé de frais au Ministère public ( art. 278 al. 2 PPF ). Une indemnité est versée au mandataire de B.________, qui a déposé une réponse et conclu au rejet du recours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