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6S.333/2002 vom 20. August 2002</w:t>
      </w:r>
    </w:p>
    <w:p>
      <w:r>
        <w:t>Bundesgericht, 2002-08-20, IT</w:t>
      </w:r>
    </w:p>
    <w:p>
      <w:r>
        <w:rPr>
          <w:b/>
        </w:rPr>
        <w:t xml:space="preserve">Quelle: </w:t>
      </w:r>
      <w:r>
        <w:t>https://mcp.opencaselaw.ch/entscheid/bger_6S.333_2002</w:t>
      </w:r>
    </w:p>
    <w:p>
      <w:r>
        <w:t>FR: TF 6S.333/2002 du 20 août 2002</w:t>
      </w:r>
    </w:p>
    <w:p>
      <w:r>
        <w:t>IT: TF 6S.333/2002 del 20 agosto 2002</w:t>
      </w:r>
    </w:p>
    <w:p>
      <w:pPr>
        <w:pStyle w:val="Heading2"/>
      </w:pPr>
      <w:r>
        <w:t>Regeste</w:t>
      </w:r>
    </w:p>
    <w:p>
      <w:r>
        <w:t>Infrazione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127 III 41 consid. 2a; 126 I 257 consid. 1a, 126 III 485 consid. 1).</w:t>
      </w:r>
    </w:p>
    <w:p>
      <w:r>
        <w:rPr>
          <w:b/>
        </w:rPr>
        <w:t>E. 2.1</w:t>
      </w:r>
    </w:p>
    <w:p>
      <w:r>
        <w:t>Contrariamente al diritto previgente, l'art. 270 della legge federale del 15 giugno 1934 sulla procedura penale (PP; RS 312.0) nella nuova versione in vigore dal 1° gennaio 2001 (FF 2000 3136 e segg.), non prevede più per il danneggiato, quand'anche parte civile, la facoltà di impugnare nel merito decisioni concernenti procedimenti penali, tale facoltà essendo stata volontariamente ristretta alle vittime ai sensi dell'art. 2 cpv. 1 della legge federale del 4 ottobre 1991 concernente l'aiuto delle vittime di reati (LAV; RS 312.5; art. 270 lett. e PP; DTF 127 IV 189 consid. 2a; FF 1999 8445 e 8437 nonché Martin Schubarth, Nichtigkeitsbeschwerde 2001, Berna 2001, pagg. 25-27 e 31-33).</w:t>
      </w:r>
    </w:p>
    <w:p>
      <w:r>
        <w:rPr>
          <w:b/>
        </w:rPr>
        <w:t>E. 2.2</w:t>
      </w:r>
    </w:p>
    <w:p>
      <w:r>
        <w:t>Per vittima s'intende ogni persona che in seguito alla commissione di un reato sia stata direttamente lesa nella sua integrità fisica, sessuale o psichica ( art. 2 cpv. 1 LAV ). Non esiste una lista esaustiva dei reati che fanno parte del campo di applicazione della LAV. Secondo il legislatore (FF 1990 II 724 e 725), l' art. 2 cpv. 1 LAV concerne, in linea di principio, i reati contro la vita e l'integrità della persona, la rapina, i reati contro la libertà personale, i reati contro il buon costume, se vi è stata lesione dell'integrità fisica, nonché l'incesto come pure, in alcuni casi, la sommossa. Sono invece esclusi i delitti di messa in pericolo (v. anche DTF 122 IV 71 consid. 3a; sentenze G.20/1996 del 6 maggio 1996 consid. 4 e 6S.549/2000 del 4 ottobre 2000 consid. 2a) e, di regola, le vie di fatto come i reati contro l'onore (v. anche sentenza del 28 ottobre 1997 pubblicata in Rep 1997 130 84 consid. 1). Lo stesso vale per i reati contro il patrimonio, in particolare il furto e la truffa, poiché i pregiudizi che una persona può subire ne costituiscono solo la conseguenza indiretta (v. anche sentenza 1P.714/93 del 25 maggio 1994 consid. 2d). Non è escluso tuttavia che la persona colpita da una truffa possa essere una vittima; tale potrebbe essere il caso se subisse al contempo una lesione della sua libertà personale o un'estorsione ( DTF 120 Ia 157 consid. 2). In altre parole, non è la natura dell'infrazione ad essere determinante, bensì la lesione direttamente sofferta. Siffatta lesione deve provocare una deteriorazione dello stato fisico, sessuale o psichico della persona in causa e raggiungere una certa gravità ( DTF 125 II 265 consid. 2). Non è sufficiente che la persona interessata abbia avuto paura, sia rimasta addolorata, abbia perso del tempo, del denaro, ecc. Deve infine esistere un rapporto di causalità naturale tra la lesione e l'infrazione, poiché la prima deve costituire la conseguenza diretta della seconda (Bernard Corboz, Les droits procéduraux découlant de la LAVI, SJ 1996, pagg. 56-57 e rinvii; Gomm/Stein/Zehntner; Kommentar zum Opferhilfegesetz, Berna 1995, ad art. 2 LAV , pagg. 39-45). La nozione di vittima dipende quindi, non tanto dalla natura dell'illecito, quanto dalle sue conseguenze.</w:t>
      </w:r>
    </w:p>
    <w:p>
      <w:r>
        <w:rPr>
          <w:b/>
        </w:rPr>
        <w:t>E. 2.3</w:t>
      </w:r>
    </w:p>
    <w:p>
      <w:r>
        <w:t>Il ricorrente sostiene essenzialmente aver sofferto in seguito ai pretesi reati di un danno complessivo di fr. 1'500'000 e di US$ 1'450'000 , oltre agli interessi del 5%. A sua mente "queste lesioni [...] che hanno leso la (sua) proprietà" avrebbero originato "gravi lesioni psichiche, che perdurano tuttora" conferendogli la qualità di vittima ai sensi dell' art. 2 cpv. 1 LAV .</w:t>
      </w:r>
    </w:p>
    <w:p>
      <w:r>
        <w:rPr>
          <w:b/>
        </w:rPr>
        <w:t>E. 2.4</w:t>
      </w:r>
    </w:p>
    <w:p>
      <w:r>
        <w:t>Orbene, come testé ribadito, i reati contro il patrimonio, in particolare l'estorsione, possono conferire la qualità di vittima se provocano direttamente accertate lesioni fisiche o psichiche (v. anche sentenza 8G.38/2001 del 24 ottobre 2001 consid. 1h). Al riguardo, il vago richiamo del ricorrente a non meglio precisate lesioni psichiche di cui soffrirebbe in seguito al preteso danno subito alla sua proprietà non è sufficiente. Indipendentemente dalla loro dubbia credibilità, tali lesioni non sono comprovate da alcun certificato medico. L'assenza di quest'ultimo sarebbe dovuto, sempre a mente del ricorrente, all'irregolarità dell'istruttoria sulla sua denuncia penale che gli avrebbe impedito di "chiedere l'assunzione della prova circa la sua sofferenza psichica". Siffatta tesi non è sostanziata da alcun elemento concreto. Non si ravvedono del resto validi motivi che avrebbero potuto ostacolare il ricorrente nell'addurre la prova delle sue allegazioni o quanto meno nel renderle verosimili. Data l'assenza di tale prova - indispensabile per determinare la realtà delle pretese lesioni, della loro gravità e del nesso causale tra le stesse e i reati oggetto della denuncia - la qualità di vittima deve essere negata al ricorrente e, con essa, la legittimazione ricorsuale in questa sede. Egli non è infine legittimato ad alcun altro titolo, né come querelante (art. 270 lett. f PP; sulla nozione v. DTF 127 IV 185 consid. 2; 120 IV 38 consid. 2c; Martin Schubarth, op. cit., pagg. 34 e 35), né come accusatore privato ai sensi dell'art. 270 lett. g PP (sulla nozione v. FF 1999 8446; DTF 127 IV 236 consid. 2b/aa; nonché Martin Schubarth, op. cit., pag. 35; nonché gli art. 68, 178, 184 CPP /TI)</w:t>
      </w:r>
    </w:p>
    <w:p>
      <w:r>
        <w:rPr>
          <w:b/>
        </w:rPr>
        <w:t>E. 3</w:t>
      </w:r>
    </w:p>
    <w:p>
      <w:r>
        <w:t>Discende da quanto precede che il gravame per cassazione è manifestamente inammissibile. Per il sovrappiù, le censure invocate sono essenzialmente di natura costituzionale e, come tali, inammissibili in sede di ricorso per cassazione ( art. 269 PP ).</w:t>
      </w:r>
    </w:p>
    <w:p>
      <w:r>
        <w:rPr>
          <w:b/>
        </w:rPr>
        <w:t>E. 4</w:t>
      </w:r>
    </w:p>
    <w:p>
      <w:r>
        <w:t>Dato l'esito del gravame per cassazione, non vi è altresì luogo di applicare l' art. 275 cpv. 5 PP e soprassedere alla sentenza di ricorso per cassazione fino a decisione conosciuta sul ricorso di diritto pubblico (1P.405/2002), ugualmente presentato dal ricorrente (v. anche DTF 93 IV 49 consid. 1).</w:t>
      </w:r>
    </w:p>
    <w:p>
      <w:r>
        <w:rPr>
          <w:b/>
        </w:rPr>
        <w:t>E. 5</w:t>
      </w:r>
    </w:p>
    <w:p>
      <w:r>
        <w:t>Le spese processuali sono di regola a carico della parte soccombente ( art. 156 cpv. 1 OG ). Il Tribunale federale, tuttavia,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In concreto, essendo il gravame manifestamente inammissibile, ossia fin dall'inizio privo di possibilità di successo, la domanda di assistenza giudiziaria va respinta sia per ciò che concerne la dispensa dal pagamento delle spese processuali sia per quanto riguarda la nomina di un patrocinatore e l'assunzione dei relativi onorari.</w:t>
      </w:r>
    </w:p>
    <w:p>
      <w:r>
        <w:rPr>
          <w:b/>
        </w:rPr>
        <w:t>E. 6</w:t>
      </w:r>
    </w:p>
    <w:p>
      <w:r>
        <w:t>Dato l'esito del gravame, la richiesta di effetto sospensivo è divenuta senza oggetto.</w:t>
      </w:r>
    </w:p>
    <w:p>
      <w:r>
        <w:rPr>
          <w:b/>
        </w:rPr>
        <w:t>E. 7</w:t>
      </w:r>
    </w:p>
    <w:p>
      <w:r>
        <w:t>Il patrocinatore del ricorrente ha inoltrato un gravame per cassazione il cui carattere temerario è indiscutibile. Avrebbe dovuto sapere che il suo gravame sarebbe stato dichiarato manifestamente inammissibile poiché il suo assistito non era una vittima ai sensi della LAV. In buona fede, non poteva ignorare le esigenze al riguardo. La questione era tra l'altro già stata esaminata in un procedimento anteriore presso la Camera di accusa del Tribunale federale, condotto dal patrocinatore in nome dello stesso assistito. In questa occasione, la Camera di accusa aveva esposto in modo diffuso quali fossero i presupposti dell' art. 2 cpv. 1 LAV e lo aveva debitamente avvertito delle sanzioni disciplinari che possono essere prese nei confronti delle parti e dei loro difensori che ricorrono a procedimenti temerari (sentenza 8G.38/2001 del 24 ottobre 2001 consid. 1 e 4). Dato l'esito del presente gravame e quanto testé ribadito, un ammonimento ai sensi dell' art. 31 OG è pronunciato nei confronti del patrocinatore del ricorrente (v. anche sentenza 6S.81/2000 del 4 febbraio 2000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