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6S.329/2002 vom 9. Januar 2003</w:t>
      </w:r>
    </w:p>
    <w:p>
      <w:r>
        <w:t>Bundesgericht, 2003-01-09, DE</w:t>
      </w:r>
    </w:p>
    <w:p>
      <w:r>
        <w:rPr>
          <w:b/>
        </w:rPr>
        <w:t xml:space="preserve">Quelle: </w:t>
      </w:r>
      <w:r>
        <w:t>https://mcp.opencaselaw.ch/entscheid/bger_6S.329_2002</w:t>
      </w:r>
    </w:p>
    <w:p>
      <w:r>
        <w:t>FR: TF 6S.329/2002 du 9 janvier 2003</w:t>
      </w:r>
    </w:p>
    <w:p>
      <w:r>
        <w:t>IT: TF 6S.329/2002 del 9 gennaio 2003</w:t>
      </w:r>
    </w:p>
    <w:p>
      <w:pPr>
        <w:pStyle w:val="Heading2"/>
      </w:pPr>
      <w:r>
        <w:t>Erwägungen</w:t>
      </w:r>
    </w:p>
    <w:p>
      <w:r>
        <w:rPr>
          <w:b/>
        </w:rPr>
        <w:t>E. 1</w:t>
      </w:r>
    </w:p>
    <w:p>
      <w:r>
        <w:t>Die Vorinstanz führt aus, der Beschwerdeführer wolle sein Alkoholproblem gegenteiligen Äusserungen zum Trotz nicht ernsthaft angehen und sich weder stationär noch ambulant behandeln lassen. Deshalb bleibe nichts anderes übrig, als die gemäss Urteilen der II. Strafkammer des Obergerichts des Kantons Zürich vom 8. September 2000 und des Einzelrichters in Strafsachen des Bezirksgerichtes Zürich vom 28. April 1995 ausgefällten und zu Gunsten einer stationären Massnahmen aufgeschobenen Gefängnisstrafen von 5 und 3 Monaten zu vollziehen (angefochtener Beschluss, S. 5 f.).</w:t>
      </w:r>
    </w:p>
    <w:p>
      <w:r>
        <w:rPr>
          <w:b/>
        </w:rPr>
        <w:t>E. 1.1</w:t>
      </w:r>
    </w:p>
    <w:p>
      <w:r>
        <w:t>Der Beschwerdeführer macht eine Verletzung von Bundesrecht geltend. Die Vorinstanz habe entgegen Art. 44 Ziff. 3 StGB und der Rechtsprechung des Bundesgerichts nicht geprüft, wie weit sein ungefähr zweimonatiger stationärer Aufenthalt in der Forel Klinik auf die aufgeschobenen Freiheitsstrafen anzurechnen sei (Beschwerde, S. 5).</w:t>
      </w:r>
    </w:p>
    <w:p>
      <w:r>
        <w:rPr>
          <w:b/>
        </w:rPr>
        <w:t>E. 1.2</w:t>
      </w:r>
    </w:p>
    <w:p>
      <w:r>
        <w:t>Zeigt sich, dass der Eingewiesene nicht geheilt werden kann oder sind die Voraussetzungen der bedingten Entlassung nach 2 Jahren Aufenthalt in der Anstalt noch nicht eingetreten, so entscheidet nach Einholung eines Berichts der Anstaltsleitung der Richter, ob und wieweit aufgeschobene Strafen noch vollstreckt werden sollen ( Art. 44 Ziff. 3 Abs. 1 StGB ).</w:t>
      </w:r>
    </w:p>
    <w:p>
      <w:r>
        <w:t>Nach bundesgerichtlicher Rechtsprechung zu Art. 44 Ziff. 3 und Art. 69 StGB ist die Dauer freiheitsentziehender Massnahmen grundsätzlich auf die aufgeschobene Freiheitsstrafe anzurechnen ( BGE 120 IV 176 E. 2a mit Hinweisen). Dabei braucht die Anrechnung nicht mit der Massnahmedauer übereinzustimmen. Ist der Vollzug der Massnahme unter dem Gesichtspunkt der tatsächlichen Beschränkung der persönlichen Freiheit dem Strafvollzug ungefähr gleich zu setzen, so ist in der Regel die ganze Dauer der Massnahme anrechenbar. Wird hingegen die persönliche Freiheit durch die Massnahme weniger beschränkt, so kann nur eine entsprechend gekürzte Dauer berücksichtigt werden. Massgebend ist, inwieweit die Massnahme die persönliche Freiheit des Betroffenen bzw. sein Recht, sich frei zu bewegen, sich aufzuhalten und zu wohnen, wo er will, beeinträchtigt hat ( BGE 120 IV 176 E. 2a mit Hinweisen). Der Richter hat das Ausmass der Freiheitsbeschränkung des erfolgten Massnahmevollzugs möglichst genau zu ermitteln und ins Verhältnis zu jenem des Freiheitsentzugs im Strafvollzug zu setzen. Lediglich einen Teil der Dauer der Massnahme auf die Freiheitsstrafe anzurechnen kann sich etwa bei freiheitlichen Vollzugseinrichtungen rechtfertigen, doch erfordert jede Kürzung eine differenzierte Prüfung und Begründung (vgl. Marianne Heer, Basler Kommentar StGB, Band I, Art. 44 N. 79).</w:t>
      </w:r>
    </w:p>
    <w:p>
      <w:r>
        <w:rPr>
          <w:b/>
        </w:rPr>
        <w:t>E. 1.3</w:t>
      </w:r>
    </w:p>
    <w:p>
      <w:r>
        <w:t>Die Vorinstanz legt nicht dar, weshalb sie die Dauer der stationären Massnahme in der Forel Klinik nicht anrechnet. Sie hat damit die oben erwähnten Grundsätze verletzt. Bei der Neubeurteilung wird sie prüfen, ob und in welchem Umfang der Aufenthalt des Beschwerdeführers im stationären Massnahmevollzug auf die aufgeschobenen Strafen anzurechnen ist.</w:t>
      </w:r>
    </w:p>
    <w:p>
      <w:r>
        <w:rPr>
          <w:b/>
        </w:rPr>
        <w:t>E. 2</w:t>
      </w:r>
    </w:p>
    <w:p>
      <w:r>
        <w:t>Die Beschwerde ist gutzuheissen. Bei diesem Ausgang des Verfahrens sind keine Kosten zu erheben und wird dem Beschwerdeführer eine Entschädigung von Fr. 2'000.-- aus der Bundesgerichtskasse ausgerichtet.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