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6S.322/2005 vom 30. September 2005</w:t>
      </w:r>
    </w:p>
    <w:p>
      <w:r>
        <w:t>Bundesgericht, 2005-09-30, FR</w:t>
      </w:r>
    </w:p>
    <w:p>
      <w:r>
        <w:rPr>
          <w:b/>
        </w:rPr>
        <w:t xml:space="preserve">Quelle: </w:t>
      </w:r>
      <w:r>
        <w:t>https://mcp.opencaselaw.ch/entscheid/bger_6S.322_2005</w:t>
      </w:r>
    </w:p>
    <w:p>
      <w:r>
        <w:t>FR: TF 6S.322/2005 du 30 septembre 2005</w:t>
      </w:r>
    </w:p>
    <w:p>
      <w:r>
        <w:t>IT: TF 6S.322/2005 del 30 settembre 2005</w:t>
      </w:r>
    </w:p>
    <w:p>
      <w:pPr>
        <w:pStyle w:val="Heading2"/>
      </w:pPr>
      <w:r>
        <w:t>Erwägungen</w:t>
      </w:r>
    </w:p>
    <w:p>
      <w:r>
        <w:rPr>
          <w:b/>
        </w:rPr>
        <w:t>E. 1</w:t>
      </w:r>
    </w:p>
    <w:p>
      <w:r>
        <w:t>Le recourant estime que les éléments constitutifs de l'infraction visée par l' art. 129 CP sont réalisés.</w:t>
      </w:r>
    </w:p>
    <w:p>
      <w:r>
        <w:rPr>
          <w:b/>
        </w:rPr>
        <w:t>E. 1.1</w:t>
      </w:r>
    </w:p>
    <w:p>
      <w:r>
        <w:t>Cette disposition punit de la réclusion pour cinq ans au plus ou de l'emprisonnement celui qui, sans scrupules, aura mis autrui en danger de mort imminent.</w:t>
      </w:r>
    </w:p>
    <w:p>
      <w:r>
        <w:t>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 La notion de mise en danger de mort imminent de l' art. 129 CP doit être interprétée de manière plus large que celle qui qualifie le degré le plus grave du brigandage ( art. 140 ch. 4 CP ), notamment parce qu'il ne s'agit pas seulement d'un élément aggravant mais d'un élément constitutif de l'infraction réprimée par cette disposition et parce que la peine menace prévue est moins lourde que celle sanctionnant le degré le plus grave du brigandage ( ATF 121 IV 67 consid. 2b/bb et cc, 2c et 2d, p. 71 s.).</w:t>
      </w:r>
    </w:p>
    <w:p>
      <w:r>
        <w:rPr>
          <w:b/>
        </w:rPr>
        <w:t>E. 1.2</w:t>
      </w:r>
    </w:p>
    <w:p>
      <w:r>
        <w:t>Selon les constatations cantonales, l'intimé a appuyé un morceau tranchant d'une assiette ou d'un cendrier brisé contre le côté gauche du cou de son adversaire, qui a subi, de ce fait, trois petites plaies superficielles, lesquelles n'ont jamais mis gravement en danger sa vie et n'ont nécessité qu'un point de suture. Comme l'a observé la Cour cantonale, l'intimé, contrairement à ce qu'il a fait, aurait dû appuyer avec force sur le cou pour atteindre la carotide et la victime n'aurait pas pu se trancher ladite artère, même si elle avait gesticulé de manière plus importante. Il aurait donc fallu une manipulation supplémentaire et intense de l'intimé pour que l'instrument pût créer un danger imminent. Enfin, contrairement aux cas cités par le recourant ( ATF 117 IV 427 ; 114 IV 8 ; 102 IV 18 ; arrêt du Tribunal fédéral du 13 février 2004 dans la cause 6S.16/2004; arrêt de la Cour de cassation vaudoise du 21 mars 1994 publié in JdT 1997 IV 29), l'objet utilisé par l'agresseur ne représentait pas la dangerosité imminente propre au maniement de couteaux, cutters, armes acérées ou encore de verre brisé contre la gorge d'une personne. Dans ces conditions, la Cour de cassation n'a pas violé le droit fédéral en niant l'existence d'un danger concret de mort imminent. Le grief doit donc être rejeté.</w:t>
      </w:r>
    </w:p>
    <w:p>
      <w:r>
        <w:rPr>
          <w:b/>
        </w:rPr>
        <w:t>E. 2</w:t>
      </w:r>
    </w:p>
    <w:p>
      <w:r>
        <w:t>Le recourant se plaint d'une violation de l' art. 63 CP .</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récemment dans l' ATF 129 IV 6 consid. 6.1, auxquels on peut donc se référer.</w:t>
      </w:r>
    </w:p>
    <w:p>
      <w:r>
        <w:rPr>
          <w:b/>
        </w:rPr>
        <w:t>E. 2.2</w:t>
      </w:r>
    </w:p>
    <w:p>
      <w:r>
        <w:t>Dans la mesure où le recourant conteste la quotité de la peine en raison de l'aggravation des charges, sa critique est irrecevable, le pourvoi sur la question de l' art. 129 CP ayant été rejeté (cf. supra consid. 1).</w:t>
      </w:r>
    </w:p>
    <w:p>
      <w:r>
        <w:t>Pour le reste, la peine infligée à l'intimé a été fixée dans le cadre légal et sur la base de critères pertinents. Au vu des éléments, tant favorables que défavorables à prendre en compte dans le cas particulier et exposés sous chiffre 3 des pages 6 et 7 de l'arrêt attaqué, elle ne paraît pas à ce point clémente que la Cour de cassation doive se voir reprocher un abus de son pouvoir d'appréciation. Elle ne viole donc pas le droit fédéral.</w:t>
      </w:r>
    </w:p>
    <w:p>
      <w:r>
        <w:rPr>
          <w:b/>
        </w:rPr>
        <w:t>E. 3</w:t>
      </w:r>
    </w:p>
    <w:p>
      <w:r>
        <w:t>En conclusion, le pourvoi est rejeté dans la mesure où il est recevable. Il n'est pas perçu de frais ( art. 278 al. 2 PPF ). Il n'y a pas lieu d'allouer une indemnité à l'intimé, qui n'a pas été amené à se déterminer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