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6S.308/2004 vom 8. November 2004</w:t>
      </w:r>
    </w:p>
    <w:p>
      <w:r>
        <w:t>Bundesgericht, 2004-11-08, FR</w:t>
      </w:r>
    </w:p>
    <w:p>
      <w:r>
        <w:rPr>
          <w:b/>
        </w:rPr>
        <w:t xml:space="preserve">Quelle: </w:t>
      </w:r>
      <w:r>
        <w:t>https://mcp.opencaselaw.ch/entscheid/bger_6S.308_2004</w:t>
      </w:r>
    </w:p>
    <w:p>
      <w:r>
        <w:t>FR: TF 6S.308/2004 du 8 novembre 2004</w:t>
      </w:r>
    </w:p>
    <w:p>
      <w:r>
        <w:t>IT: TF 6S.308/2004 del 8 novembre 2004</w:t>
      </w:r>
    </w:p>
    <w:p>
      <w:pPr>
        <w:pStyle w:val="Heading2"/>
      </w:pPr>
      <w:r>
        <w:t>Regeste</w:t>
      </w:r>
    </w:p>
    <w:p>
      <w:r>
        <w:t>Droit pénal (en général)</w:t>
      </w:r>
    </w:p>
    <w:p>
      <w:pPr>
        <w:pStyle w:val="Heading2"/>
      </w:pPr>
      <w:r>
        <w:t>Erwägungen</w:t>
      </w:r>
    </w:p>
    <w:p>
      <w:r>
        <w:rPr>
          <w:b/>
        </w:rPr>
        <w:t>E. 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123 IV 252 consid. 1 p. 253; 122 IV 45 consid. 1c p. 46 s.; 119 IV 168 consid. 2a p. 170; 111 IV 188 consid. 2 p. 191). En l'occurrence, la Cour de cassation cantonale admet que la peine doit être inférieure à vingt-quatre mois, voire ne pas dépasser dix-huit mois. Elle tranche ainsi de manière définitive une question qui relève du droit fédéral. Le pourvoi en nullité est donc recevable sous l'angle de l' art. 268 ch. 1 PPF .</w:t>
      </w:r>
    </w:p>
    <w:p>
      <w:r>
        <w:rPr>
          <w:b/>
        </w:rPr>
        <w:t>E. 2</w:t>
      </w:r>
    </w:p>
    <w:p>
      <w:r>
        <w:t>Le recourant invoque une violation de l' art. 63 CP . Il considère que la Cour de cassation cantonale a cassé le jugement de première instance, en se fondant sur un critère étranger à l' art. 63 CP .</w:t>
      </w:r>
    </w:p>
    <w:p>
      <w:r>
        <w:rPr>
          <w:b/>
        </w:rPr>
        <w:t>E. 2.1</w:t>
      </w:r>
    </w:p>
    <w:p>
      <w:r>
        <w:t>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w:t>
      </w:r>
    </w:p>
    <w:p>
      <w:r>
        <w:rPr>
          <w:b/>
        </w:rPr>
        <w:t>E. 2.2</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2.3</w:t>
      </w:r>
    </w:p>
    <w:p>
      <w:r>
        <w:t>En l'espèce, la Cour de cassation cantonale ne s'est pas prononcée sur la faute de l'intimé. Contrairement à ce que soutient ce dernier, elle n'a pas jugé que la peine de vingt-quatre mois était arbitrairement sévère, au vu de la situation personnelle de l'intimé et de son évolution favorable depuis les faits. La motivation de l'arrêt attaqué repose uniquement sur une comparaison entre la peine qui a été prononcée par défaut (dix-huit mois) et celle qui a été ordonnée à la suite du relief (vingt-quatre mois). Pour la Cour de cassation cantonale, un jugement rendu après relief du défaut ne peut être plus sévère, à moins qu'il y ait eu, dans l'intervalle des deux jugements, de nouvelles infractions ou la survenance de nouvelles circonstances aggravantes. Dans leur raisonnement, les juges cantonaux ne se réfèrent à aucune disposition de droit cantonal. Il ne semble d'ailleurs pas que le droit neuchâtelois connaisse l'interdiction de la reformatio in pejus après le relief d'un jugement par défaut. En se fondant sur le principe de l'interdiction de la reformatio in pejus, la Cour de cassation cantonale a donc retenu un critère étranger à l' art. 63 CP . Ce faisant, elle a violé le droit fédéral. Le pourvoi doit dès lors être admis et la cause doit être renvoyée à l'autorité cantonale à charge pour celle-ci d'examiner la peine au regard de la faute de l'intimé.</w:t>
      </w:r>
    </w:p>
    <w:p>
      <w:r>
        <w:rPr>
          <w:b/>
        </w:rPr>
        <w:t>E. 3</w:t>
      </w:r>
    </w:p>
    <w:p>
      <w:r>
        <w:t>Il n'y a pas lieu d'allouer d'indemnité à l'accusateur public qui obtient gain de cause ( art. 278 al. 3 PPF ). Comme l'intimé a suffisamment démontré qu'il était dans le besoin, l'assistance judiciaire lui sera accordée ( art. 152 al. 1 OJ ). En conséquence, il ne sera pas perçu de frais et une indemnité sera versée à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