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6S.277/2004 vom 1. September 2004</w:t>
      </w:r>
    </w:p>
    <w:p>
      <w:r>
        <w:t>Bundesgericht, 2004-09-01, FR</w:t>
      </w:r>
    </w:p>
    <w:p>
      <w:r>
        <w:rPr>
          <w:b/>
        </w:rPr>
        <w:t xml:space="preserve">Quelle: </w:t>
      </w:r>
      <w:r>
        <w:t>https://mcp.opencaselaw.ch/entscheid/bger_6S.277_2004</w:t>
      </w:r>
    </w:p>
    <w:p>
      <w:r>
        <w:t>FR: TF 6S.277/2004 du 1 septembre 2004</w:t>
      </w:r>
    </w:p>
    <w:p>
      <w:r>
        <w:t>IT: TF 6S.277/2004 del 1 settembre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2</w:t>
      </w:r>
    </w:p>
    <w:p>
      <w:r>
        <w:t>Le recourant conteste la qualification d'escroquerie pour avoir revendu à des tiers les véhicules VW Golf et Mercedes CLK qu'il avait loués. Pour lui, il s'agirait d'abus de confiance. On peut se demander si le recourant a un intérêt juridique à invoquer une autre qualification (abus de confiance à la place d'escroquerie) car les deux infractions en cause sont de même gravité (cf. art. 138 ch. 1 et 146 al. 1 CP ). Un changement de qualification n'est donc pas susceptible d'améliorer le sort du recourant dans la procédure. Il est vrai que reconnaître la possibilité de recourir dans un tel cas permet de garantir l'application correcte et uniforme du droit fédéral ( ATF 100 IV 1 consid. 5a p. 2/3). Quoi qu'il en soit, cette question peut rester indécise car le grief est de toute façon infondé. Selon la jurisprudence, celui qui dispose sans droit d'une chose ou d'une valeur patrimoniale appartenant à autrui, qui lui a été confiée et sur laquelle il a un pouvoir matériel de disposition en vertu d'un accord passé avec le propriétaire, est punissable pour abus de confiance. En revanche, là où il existe bien une relation de confiance entre le propriétaire et l'auteur, mais où ce dernier obtient le pouvoir matériel de disposition grâce à une tromperie astucieuse, il y a exclusivement escroquerie ( ATF 111 IV 130 consid. 1 p. 132 ss). Il convient cependant de retenir l'abus de confiance, et non l'escroquerie, si une chose ou une valeur patrimoniale est confiée à l'auteur (sans tromperie de sa part) et qu'il se borne alors à dissimuler son intention de se l'approprier ( ATF 117 IV 429 consid. 3c p. 436; Bernard Corboz, Les infractions en droit suisse, vol. I, Berne 2002, art. 146 CP n. 51). A noter que ce dernier arrêt a été rendu dans le contexte particulier où une condamnation pour escroquerie n'était plus possible pour des motifs de procédure et où, par conséquent, seul un abus de confiance pouvait entrer en ligne de compte (cf. Stefan Trechsel, Kurzkommentar, 2ème éd., Zurich 1997, art. 146 CP n. 38). Cet arrêt ne saurait par contre être interprété dans le sens d'une remise en cause de celui précité publié aux ATF 111 IV 130 , qui garde toute sa valeur. En l'espèce, il a été tenu pour établi qu'au moment de la passation des contrats, le recourant avait l'intention de s'approprier les voitures et de ne pas les restituer aux agences de location. Savoir ce que l'auteur voulait relève de l'établissement des faits ( ATF 125 IV 49 2d p. 56). Les constatations cantonales sur la volonté du recourant lient donc le Tribunal fédéral saisi d'un pourvoi en nullité. En étant d'emblée décidé à ne pas respecter les contrats, le recourant a trompé les agences de location sur sa volonté de respecter les contrats et de restituer les véhicules et les a ainsi déterminées à passer un acte préjudiciable à leurs intérêts. C'est donc bien par une tromperie initiale que le recourant a obtenu les véhicules. La qualification d'escroquerie peut entrer en ligne de compte. Encore faut-il que la tromperie ait été astucieuse, ce que conteste aussi le recourant. Une tromperie portant sur la volonté d'exécuter une prestation n'est pas astucieuse au sens de l' art. 146 CP dans tous les cas, mais uniquement lorsque la vérification de la capacité d'exécution n'est pas possible, ne l'est que difficilement ou ne peut être raisonnablement exigée, ou encore, en conséquence, lorsqu'aucune conclusion ne peut être tirée quant à la volonté d'exécution ( ATF 125 IV 124 consid. 3a p. 128; 118 IV 359 consid. 2 p. 360 ss). En l'espèce, le recourant a caché qu'il n'entendait pas restituer les véhicules loués. En concluant les contrats de location, il s'était engagé à les rendre. Les bailleresses n'avaient aucune possibilité de mieux s'assurer du respect des engagements contractuels du recourant. Comme l'a relevé la Cour de cassation vaudoise, celui-ci, en s'acquittant du prix de location, a rendu sa véritable intention d'autant moins reconnaissable. Sa tromperie ne peut qu'être qualifiée d'astucieuse. Dans ces conditions, l'arrêt attaqué, ne viole pas le droit fédéral en tant qu'il retient la qualification d'escroquerie et non d'abus de confiance.</w:t>
      </w:r>
    </w:p>
    <w:p>
      <w:r>
        <w:rPr>
          <w:b/>
        </w:rPr>
        <w:t>E. 3</w:t>
      </w:r>
    </w:p>
    <w:p>
      <w:r>
        <w:t>Le recourant conteste s'être rendu coupable d'escroquerie pour les ventes à Y.________ des Mercedes CLK et classe A. L'argumentation développée par le recourant n'est guère compréhensible. Il se réfère à l' art. 933 CC , qui protège l'acquéreur de bonne foi. Le tiers acquéreur de bonne foi, Y.________ en l'occurrence, courait lui-même le risque d'être impliqué dans un litige avec les possesseurs originaires à qui le recourant avait soustrait les voitures, voire pouvait être contraint de les restituer en application de l' art. 934 CC . Ce risque a diminué la valeur économique des voitures et a fait subir à Y.________ une atteinte à ses intérêts pécuniaires. Aussi, la vente des voitures par le recourant pouvait-elle être qualifiée d'escroquerie au détriment de Y.________ (cf. ATF 121 IV 26 consid. 2 p. 27 ss). Le recourant nie avoir agi astucieusement s'agissant de la Mercedes classe A. Il observe que Y.________ aurait déjà dû avoir des doutes en raison de la transaction portant sur la Mercedes CLK. Comme l'a relevé la Cour de cassation vaudoise, le recourant a dissipé les doutes de Y.________ relatifs à la Mercedes CLK (liés au faux numéro de châssis sur le permis de circulation) en lui remettant ensuite une fausse attestation du Service des automobiles (cf. arrêt attaqué, p. 20). Il ressort en outre du jugement de première instance (p. 19 in fine) que ce n'est qu'au printemps 2001 que Y.________ a su qu'il y avait un problème avec la Mercedes CLK. Or, le contrat pour la Mercedes classe A a été passé avant, en janvier 2001, c'est-à-dire à un moment où Y.________ n'avait aucune raison particulière de se méfier du recourant. En conclusion, le recourant, qui a agi sur la base de différents documents falsifiés, a astucieusement trompé Y.________ en lui vendant les Mercedes CLK et classe A. Sa condamnation à cet égard pour escroquerie ne viole pas le droit fédéral. Les griefs émis doivent être rejetés dans la mesure où ils sont recevables.</w:t>
      </w:r>
    </w:p>
    <w:p>
      <w:r>
        <w:rPr>
          <w:b/>
        </w:rPr>
        <w:t>E. 4</w:t>
      </w:r>
    </w:p>
    <w:p>
      <w:r>
        <w:t>Le recourant nie s'être rendu coupable d'abus de confiance au détriment de Y.________ pour ce qui concerne la Mercedes 500 SL. Il souligne que le Tribunal correctionnel a indiqué que le prix de cette voiture devait être payé "par compensation" avec des sommes déjà avancées par Y.________. Pour lui, la compensation ne permet pas d'envisager des valeurs patrimoniales confiées et exclut l'abus de confiance. Le recourant s'écarte largement des faits retenus en instance cantonale et formule ainsi une argumentation irrecevable dans un pourvoi. La Cour de cassation vaudoise a indiqué que la formulation du Tribunal correctionnel, qui parlait de "compensation", n'était pas des plus heureuses. Elle a exposé que Y.________ avait remis au recourant plusieurs montants et qu'à un moment donné, ils avaient décidé entre eux d'affecter cet argent à l'achat de la Mercedes 500 SL, mais que le recourant en avait disposé à des fins personnelles (cf. arrêt attaqué, p. 8/9). Ainsi, selon les constatations cantonales, le recourant s'est vu confier de l'argent, qu'il a détourné à son profit plutôt que de l'utiliser selon ce qui était convenu. Ce comportement est caractéristique de l'abus de confiance (cf. art. 138 ch. 1 CP ; ATF 121 IV 23 consid. 1c p. 25). Supposé recevable, le grief est infondé.</w:t>
      </w:r>
    </w:p>
    <w:p>
      <w:r>
        <w:rPr>
          <w:b/>
        </w:rPr>
        <w:t>E. 5</w:t>
      </w:r>
    </w:p>
    <w:p>
      <w:r>
        <w:t>Le recourant critique le refus du sursis.</w:t>
      </w:r>
    </w:p>
    <w:p>
      <w:r>
        <w:rPr>
          <w:b/>
        </w:rPr>
        <w:t>E. 5.1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En l'espèce, la peine prononcée étant inférieure à dix-huit mois (peine d'une année d'emprisonnement), est seule litigieuse la seconde condition, dite subjective. Il s'agit, d'une certaine manière, de poser un pronostic quant au comportement futur du condamné ( ATF 119 IV 195 consid. 3c p. 198). Pour effectuer ce pronostic, le juge de répression dispose d'un large pouvoir d'appréciation. Le Tribunal fédéral n'annule la décision rendue, pour le motif que le droit fédéral a été violé, que si celle-ci repose sur des considérations étrangères à la disposition applicable, si elle ne prend pas en compte les critères découlant de celle-ci ou si le juge s'est montré à ce point sévère ou clément que l'on doive parler d'un abus du pouvoir d'appréciation ( ATF 128 IV 193 consid. 3a p. 198; 119 IV 195 consid. 3b p. 197/198). Pour décider si le sursis est de nature à détourner l'accusé de commettre de nouvelles infractions, le juge doit se livrer à une appréciation d'ensemble ( ATF 119 IV 195 consid. 3b p. 198). Il doit tenir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128 IV 193 consid. 3a p. 199). Pour l'évaluation du risque de récidive, un examen global de la personnalité de l'auteur est indispensable. De vagues espoirs quant à la conduite future du délinquant ne suffisent pas pour émettre un pronostic favorable ( ATF 115 IV 81 consid. 2a p. 82).</w:t>
      </w:r>
    </w:p>
    <w:p>
      <w:r>
        <w:rPr>
          <w:b/>
        </w:rPr>
        <w:t>E. 5.2</w:t>
      </w:r>
    </w:p>
    <w:p>
      <w:r>
        <w:t>Le recourant observe qu'au moment des faits, il se trouvait en état de dépression et que les infractions commises étaient liées à sa situation financière difficile. Il souligne les regrets qu'il a manifestés et qu'il est un bon père de famille. Selon lui, son incarcération durant une année est de nature à l'exclure de sa famille comme de la société et à entraver sa réinsertion.</w:t>
      </w:r>
    </w:p>
    <w:p>
      <w:r>
        <w:rPr>
          <w:b/>
        </w:rPr>
        <w:t>E. 5.3</w:t>
      </w:r>
    </w:p>
    <w:p>
      <w:r>
        <w:t>Il ressort des constatations cantonales que l'état dépressif du recourant, qui n'a jamais été qualifié de grave, n'a pas de rapport avec les infractions commises, lesquelles lui sont antérieures ou postérieures (cf. arrêt attaqué, p. 7). Le Tribunal correctionnel a notamment pris en compte les éléments suivants pour fixer la peine: Acculé par sa situation financière, le recourant a à chaque fois tenté de combler les trous. Une partie de l'argent détourné a été engloutie dans son commerce de voitures. Il a déjà des antécédents pénaux en matière d'escroquerie. Il a en outre récidivé deux fois en cours de l'enquête, y compris après avoir subi une période de détention préventive. Ses paiements partiels étaient plutôt des gestes tactiques pour reculer le moment de la punition et il a d'ailleurs cessé ses paiements à Y.________ lorsque celui-ci a déposé plainte pénale (en avril 2002). Il n'a rien versé à la société D.________ ni à la société B.________ SA. A sa décharge, il a formulé des excuses en fin d'audience à Y.________. Il a aussi exprimé des regrets, relevant que son activité délictueuse ne lui avait rien apporté de bon. Il mène une vie familiale stable et est qualifié de bon père par son épouse (cf. jugement de première instance, p. 23/24). Immédiatement après l'énoncé des éléments précités, le Tribunal correctionnel a examiné la question du sursis. Il a relevé qu'il avait "beaucoup hésité". Il a néanmoins considéré que peu d'éléments plaidaient en faveur d'un pronostic favorable. Il a mis en avant les mauvais antécédents du recourant (déjà condamné en 1991 pour une infraction semblable) et sa double récidive lors de l'enquête. Il a aussi indiqué que le recourant n'avait pas réparé autant que l'on pouvait attendre de lui les dommages causés. Il a conclu que les conditions pour assortir la peine prononcée du sursis n'était pas réalisée. De son côté, la Cour de cassation vaudoise a noté que le Tribunal correctionnel avait apprécié les éléments pertinents pour la question du sursis (condamnation pour escroquerie en 1991, récidive lors de l'enquête, non-réparation des dommages causés aux sociétés de location, excuses présentée à Y.________, regrets exprimés, reconnaissances de dettes, situation familiale stable). Elle a jugé que le refus du sursis ne violait pas l' art. 41 CP (cf. arrêt attaqué, p. 26).</w:t>
      </w:r>
    </w:p>
    <w:p>
      <w:r>
        <w:rPr>
          <w:b/>
        </w:rPr>
        <w:t>E. 5.4</w:t>
      </w:r>
    </w:p>
    <w:p>
      <w:r>
        <w:t>Quoiqu'ancienne, la condamnation du recourant en 1991 pour escroquerie constitue un élément défavorable pour le pronostic à poser. En outre, le recourant a été détenu préventivement dans le cadre de la présente affaire durant treize jours en mai-juin 2000. Cette détention n'a eu aucun effet dissuasif. Le recourant a commis d'autres infractions postérieurement (les infractions reprochées s'étendent de mai 2000 à l'automne 2001). Comme l'a relevé la Cour de cassation vaudoise, compte tenu de la durée des activités illicites, on ne saurait parler de volonté délictuelle unique, mais bien d'actes procédant de décisions distinctes (cf. arrêt attaqué, p. 23). Cette persistance à commettre des actes répréhensibles, que le Tribunal correctionnel a pris en compte en parlant de "récidive", s'apprécie de manière fortement négative. Dans ces conditions, malgré les différents éléments positifs pour le recourant, le Tribunal fédéral ne saurait conclure que l'autorité cantonale a outrepassé son large pouvoir d'appréciation en ce domaine (supra, consid. 5.1) en ne posant pas un pronostic favorable. Le refus du sursis ne viole pas le droit fédéral.</w:t>
      </w:r>
    </w:p>
    <w:p>
      <w:r>
        <w:rPr>
          <w:b/>
        </w:rPr>
        <w:t>E. 6</w:t>
      </w:r>
    </w:p>
    <w:p>
      <w:r>
        <w:t>Au vu de ce qui précède, le pourvoi en nullité doit être rejeté dans la mesure où il est recevable. Le recourant a sollicité l'assistance judiciaire. Il a suffisamment montré être dans le besoin et sa critique relative à l' art. 41 CP ne paraissait pas d'emblée vouée à l'échec. L'assistance judiciaire lui sera donc accordée ( art. 152 OJ ), de sorte qu'il ne sera pas perçu de frais et qu'une indemnité sera allouée à son mandataire.</w:t>
      </w:r>
    </w:p>
    <w:p>
      <w:r>
        <w:rPr>
          <w:b/>
        </w:rPr>
        <w:t>E. 7</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