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6S.277/2003 vom 23. September 2003</w:t>
      </w:r>
    </w:p>
    <w:p>
      <w:r>
        <w:t>Bundesgericht, 2003-09-23, FR</w:t>
      </w:r>
    </w:p>
    <w:p>
      <w:r>
        <w:rPr>
          <w:b/>
        </w:rPr>
        <w:t xml:space="preserve">Quelle: </w:t>
      </w:r>
      <w:r>
        <w:t>https://mcp.opencaselaw.ch/entscheid/bger_6S.277_2003</w:t>
      </w:r>
    </w:p>
    <w:p>
      <w:r>
        <w:t>FR: TF 6S.277/2003 du 23 septembre 2003</w:t>
      </w:r>
    </w:p>
    <w:p>
      <w:r>
        <w:t>IT: TF 6S.277/2003 del 23 settembre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les griefs fondés sur un autre état de fait sont irrecevables ( ATF 126 IV 65 consid. 1 p. 66/67; 124 IV 53 consid. 1 p. 55, 81 consid. 2a p. 83 et les arrêts cités).</w:t>
      </w:r>
    </w:p>
    <w:p>
      <w:r>
        <w:rPr>
          <w:b/>
        </w:rPr>
        <w:t>E. 2</w:t>
      </w:r>
    </w:p>
    <w:p>
      <w:r>
        <w:t>Invoquant une violation de l' art. 156 CP , les recourants contestent la réalisation des éléments objectifs de cette infraction.</w:t>
      </w:r>
    </w:p>
    <w:p>
      <w:r>
        <w:rPr>
          <w:b/>
        </w:rPr>
        <w:t>E. 2.1</w:t>
      </w:r>
    </w:p>
    <w:p>
      <w:r>
        <w:t>L' 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(Corboz, Les infractions en droit suisse, vol. I, Berne 2002, art. 156 CP n° 18 et art. 146 CP n° 28; Stratenwerth, Schweizerisches Strafrecht, Partie spéciale I, 5ème éd. Berne 1995, § 17 n° 6 s. et § 15 n° 31 s.). Il faut en outre un dommage, c'est-à-dire une lésion du patrimoine sous la forme d'une diminution de l'actif, d'une augmentation du passif, d'une non-augmentation de l'actif ou d'une non-diminution du passif (cf. ATF 122 IV 279 consid. 2a p. 281; 121 IV 104 consid. 2c p. 107). L'extorsion suppose un lien de causalité entre ces divers éléments. Autrement dit, l'usage de la contrainte doit avoir été la cause de l'acte préjudiciable aux intérêts pécuniaires, lequel doit être la cause du dommage (Corboz, op. cit. art. 156 CP n° 21). Sur le plan subjectif, il faut que l'auteur ait agi intentionnellement, le dol éventuel étant suffisant, et dans le dessein de se procurer ou de procurer à un tiers un enrichissement illégitime.</w:t>
      </w:r>
    </w:p>
    <w:p>
      <w:r>
        <w:rPr>
          <w:b/>
        </w:rPr>
        <w:t>E. 2.2</w:t>
      </w:r>
    </w:p>
    <w:p>
      <w:r>
        <w:t>Le délit manqué ( art. 22 al. 1 CP ) est une forme de tentative au sens large (cf. art. 21 ss CP ). Selon la jurisprudence, il y a tentative au sens large lorsque l'auteur a réalisé tous les éléments subjectifs de l'infraction et qu'il a manifesté sa décision de la commettre, sans toutefois que les éléments constitutifs objectifs soient tous réalisés. La tentative au sens large implique donc que tous les éléments subjectifs de l'infraction soient réunis, en premier lieu l'intention - à cet égard, le dol éventuel suffit - et, le cas échéant, les autres conditions subjectives (dessein d'enrichissement, etc.), alors que les éléments objectifs font, au moins partiellement, défaut (cf. ATF 128 IV 18 consid. 3b p. 21; 122 IV 246 consid. 3a p. 248; 120 IV 199 consid. 3e p. 206).</w:t>
      </w:r>
    </w:p>
    <w:p>
      <w:r>
        <w:rPr>
          <w:b/>
        </w:rPr>
        <w:t>E. 2.3</w:t>
      </w:r>
    </w:p>
    <w:p>
      <w:r>
        <w:t>L'arrêt attaqué retient la réalisation d'un délit manqué d'extorsion, et non d'une extorsion consommée. La question n'est donc pas de savoir si le comportement des recourants réalise tous les éléments constitutifs, aussi bien objectifs que subjectifs, d'une extorsion, mais si, agissant intentionnellement et dans un dessein d'enrichissement illégitime, ils ont commencé l'exécution de cette infraction, manifestant ainsi leur décision de la commettre, quand bien même les éléments objectifs feraient, en tout ou en partie, défaut.</w:t>
      </w:r>
    </w:p>
    <w:p>
      <w:r>
        <w:rPr>
          <w:b/>
        </w:rPr>
        <w:t>E. 2.4</w:t>
      </w:r>
    </w:p>
    <w:p>
      <w:r>
        <w:t>L'arrêt attaqué constate que les recourants ont contacté les époux P.________ dans le cadre de la mise aux enchères de l'immeuble où ils habitent et exploitent un commerce et sur lequel ils jouissent par ailleurs d'un droit de préemption, leur proposant de s'engager à ne pas enchérir lors de la vente de cet immeuble en échange du versement d'une commission calculée en fonction du prix d'achat obtenu. Il constate également que les recourants, qui sont des professionnels de l'immobilier, savaient que les époux P.________ étaient très intéressés à acquérir l'immeuble, qu'ils savaient aussi qu'ils n'avaient eux-mêmes que peu de chances de l'acquérir, vu le droit de préemption dont jouissaient les époux P.________, et que rien d'ailleurs n'indique qu'ils aient été réellement intéressés à le faire. Les recourants donnaient ainsi à entendre que, sauf versement d'une commission par les époux P.________, ils participeraient à la vente aux enchères pour y faire grimper le prix de l'immeuble. Une telle démarche était propre à faire craindre aux époux P.________ de devoir débourser un prix inutilement élevé pour qu'ils puissent acquérir l'immeuble qu'ils convoitaient. Elle revenait donc à exercer sur eux une pression psychologique limitant leur liberté de décision; ils étaient placés devant l'alternative de devoir choisir entre le versement d'une commission aux recourants ou le risque de payer un prix élevé pour acquérir l'immeuble. Or, compte tenu de la manière dont la commission avait été calculée par les recourants, il apparaissait logiquement préférable pour les époux P.________ de la verser plutôt que de refuser de le faire. En effet, selon la proposition des recourants, les époux P.________ devaient verser une commission dégressive allant de 75'000 à 0 francs pour un prix obtenu allant de 450'000 à 600'000 francs; autrement dit, s'ils acceptaient de la verser, ils s'exposaient à débourser, au maximum, une somme totale de 525'000 francs, soit 75'000 francs à titre de commission et 450'000 francs pour l'immeuble, alors qu'ils risquaient de payer beaucoup plus si les recourants intervenaient aux enchères pour faire grimper le prix de l'immeuble. La proposition des recourants, telle qu'elle était formulée, ne pouvait donc guère qu'être acceptée par les époux P.________, qui étaient ainsi amenés à verser une somme d'argent, non pas à l'ayant droit à titre de paiement du prix de l'immeuble, mais aux recourants en contre-partie de leur renonciation à enchérir. Certes, les époux P.________ savaient que la banque voulait au minimum 620'000 francs pour l'immeuble, qu'ils n'excluaient donc pas de devoir débourser, et il ne pouvait par ailleurs leur échapper que la renonciation des recourants à venir enchérir ne suffisait pas à exclure que le prix de l'immeuble ne grimpe lors des enchères, à l'initiative d'autres personnes pouvant y participer. Le cas échéant, ils n'auraient toutefois, conformément à la convention, aucune commission à verser aux recourants, alors qu'ils évitaient à tout le moins que ces derniers, comme ils menaçaient de le faire, ne viennent enchérir. Ils avaient donc de toute manière intérêt à accepter de signer la convention plutôt que de s'en abstenir. Les recourants ont donc, en toute connaissance de cause et dans le dessein de se procurer un enrichissement illégitime, recouru à un procédé qui revenait à exercer une pression psychologique sur les époux P.________, laquelle était propre à entraver leur liberté de décision et à les déterminer ainsi à accomplir un acte préjudiciable à leurs intérêts pécuniaires. La manoeuvre a toutefois échoué, non pas cependant parce que les recourants ne seraient pas allés jusqu'au bout de leur activité coupable, mais parce que, ce nonobstant, ils n'ont pas atteint le résultat nécessaire à la réalisation de l'infraction. En effet, les époux P.________ ont finalement acquis l'immeuble pour un prix de 780'000 francs, donc pour un montant supérieur au maximum prévu par la convention, de sorte qu'ils n'ont pas eu à verser de commission aux recourants. Que le résultat dommageable ne se soit pas produit n'infirme toutefois pas la réalisation de l'infraction retenue, soit un délit manqué d'extorsion, les recourants ayant manifesté leur intention de commettre cette infraction, dont les éléments subjectifs sont en tout cas réalisés (cf. supra, consid. 2.2).</w:t>
      </w:r>
    </w:p>
    <w:p>
      <w:r>
        <w:rPr>
          <w:b/>
        </w:rPr>
        <w:t>E. 2.5</w:t>
      </w:r>
    </w:p>
    <w:p>
      <w:r>
        <w:t>Pour le contester, les recourants allèguent vainement que C. P.________ ne s'est pas senti menacé. L'arrêt attaqué considère que, dans le cas d'espèce, ces termes, compte tenu des explications données par les époux P.________, doivent manifestement être compris dans leur sens étroit. Il s'agit là d'une question d'appréciation des preuves, qui ne peut être rediscutée dans un pourvoi en nullité ( art. 269 PPF ; ATF 124 IV 81 consid. 2a p. 83; 123 IV 184 consid. 1a p. 186; 118 IV 309 consid. 2b p. 317) et dont les recourants n'ont aucunement démontré dans leur recours de droit public parallèle qu'elle serait arbitraire (cf. arrêt 6P.102/2003, consid. 4.3). Pour les motifs exposés ci-dessus (cf. supra, consid. 2.4), c'est en vain aussi qu'ils objectent que les époux P.________ savaient que la banque voulait au moins 620'000 francs pour l'immeuble et ne pouvaient exclure l'intervention d'autres enchérisseurs. Enfin, que la pression psychologique exercée sur les époux P.________ ait été propre, dans les circonstances de l'espèce, à les déterminer à signer la convention proposée pouvait être admis sans violation du droit fédéral (cf. supra, consid. 2.4); on ne voit au demeurant pas, et les recourants ne le disent pas, pourquoi les époux P.________ auraient signé la convention, acceptant de verser une commission aux recourants, s'ils n'avaient craint que sans cela le prix de l'immeuble grimpe inutilement lors des enchères. Quant aux faits retenus, les recourants ne sauraient s'en plaindre dans leur pourvoi en nullité (cf. supra, consid. 1); à cet égard, alléguer, ainsi qu'ils le font, que la cour cantonale aurait "volontairement" rendu son arrêt sur la base de faits incomplets et inexacts relève de la témérité, d'autant que les recourants n'ont pu démontrer d'arbitraire quant aux faits retenus dans leur recours de droit public parallèle.</w:t>
      </w:r>
    </w:p>
    <w:p>
      <w:r>
        <w:rPr>
          <w:b/>
        </w:rPr>
        <w:t>E. 2.6</w:t>
      </w:r>
    </w:p>
    <w:p>
      <w:r>
        <w:t>Les conditions de l'infraction retenue étant réalisées, une éventuelle condamnation des recourants pour tentative de contrainte, n'entre pas en considération, l'extorsion absorbant la contrainte en tant que lex specialis. Le grief de violation de l' art. 181 CP , également soulevé par les recourants, est donc privé de fondement.</w:t>
      </w:r>
    </w:p>
    <w:p>
      <w:r>
        <w:rPr>
          <w:b/>
        </w:rPr>
        <w:t>E. 3</w:t>
      </w:r>
    </w:p>
    <w:p>
      <w:r>
        <w:t>Le pourvoi doit ainsi être rejeté dans la mesure où il est recevable et les recourants, qui succombent, supporteront les frais, à parts égales entre eux et solidairement ( art. 278 al. 1 et 245 PPF ; art. 156 al. 7 OJ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