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6S.272/2003 vom 23. September 2003</w:t>
      </w:r>
    </w:p>
    <w:p>
      <w:r>
        <w:t>Bundesgericht, 2003-09-23, FR</w:t>
      </w:r>
    </w:p>
    <w:p>
      <w:r>
        <w:rPr>
          <w:b/>
        </w:rPr>
        <w:t xml:space="preserve">Quelle: </w:t>
      </w:r>
      <w:r>
        <w:t>https://mcp.opencaselaw.ch/entscheid/bger_6S.272_2003</w:t>
      </w:r>
    </w:p>
    <w:p>
      <w:r>
        <w:t>FR: TF 6S.272/2003 du 23 septembre 2003</w:t>
      </w:r>
    </w:p>
    <w:p>
      <w:r>
        <w:t>IT: TF 6S.272/2003 del 23 settembre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 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Le recourant s'en prend à sa condamnation pour blanchiment aggravé en vertu de l' art. 305bis ch. 2 let. a CP .</w:t>
      </w:r>
    </w:p>
    <w:p>
      <w:r>
        <w:rPr>
          <w:b/>
        </w:rPr>
        <w:t>E. 2.1</w:t>
      </w:r>
    </w:p>
    <w:p>
      <w:r>
        <w:t>L' art. 305bis ch. 1 CP punit de l'emprisonnement ou de l'amende celui qui aura commis un acte propre à entraver l'identification de l'origine, la découverte ou la confiscation de valeurs patrimoniales dont il savait ou devait présumer qu'elles provenaient d'un crime. En l'espèce, les fonds, en particulier les 3'300'000 US$, proviennent du trafic de drogue. Il est incontestable qu'un tel trafic est réprimé pénalement aux Etats-Unis d'Amérique, vers lesquels la drogue a été acheminée, et qu'il constitue un crime en droit suisse ( art. 9 CP ) en vertu de l'art. 19 ch. 1 in fine et 2 LStup (cf. Ursula Cassani, Commentaire du droit pénal suisse, vol. 9, Berne 1996, art. 305bis CP n. 15). Cet argent a fait l'objet de retraits et de transferts bancaires de Suisse à l'étranger et de l'étranger en Suisse sur divers comptes ouverts sous plusieurs noms, parfois faux. De tels actes sont propres à entraver la confiscation (cf. Ursula Cassani, op. cit., art. 305bis CP n. 39 ss). Il s'ensuit que l'infraction de blanchiment est objectivement réalisée. Le recourant ne le conteste d'ailleurs pas, mais remet uniquement en cause le cas aggravé de blanchiment retenu à son encontre.</w:t>
      </w:r>
    </w:p>
    <w:p>
      <w:r>
        <w:rPr>
          <w:b/>
        </w:rPr>
        <w:t>E. 2.2</w:t>
      </w:r>
    </w:p>
    <w:p>
      <w:r>
        <w:t>L' art. 305bis ch. 2 CP prévoit la réclusion pour cinq ans au plus ou l'emprisonnement pour les cas graves, notamment lorsque le délinquant agit comme membre d'une organisation criminelle (let. a).</w:t>
      </w:r>
    </w:p>
    <w:p>
      <w:r>
        <w:rPr>
          <w:b/>
        </w:rPr>
        <w:t>E. 2.3</w:t>
      </w:r>
    </w:p>
    <w:p>
      <w:r>
        <w:t>Le recourant conteste l'existence d'une organisation criminelle.</w:t>
      </w:r>
    </w:p>
    <w:p>
      <w:r>
        <w:rPr>
          <w:b/>
        </w:rPr>
        <w:t>E. 2.3.1</w:t>
      </w:r>
    </w:p>
    <w:p>
      <w:r>
        <w:t>La notion d'organisation criminelle au sens de l' art. 305bis ch. 2 let. a CP est la même que celle visée à l' art. 260ter CP (cf. Ursula Cassani, op. cit., art. 305bis CP n. 56). Il s'agit d'une notion plus étroite que celle de groupe, de groupement au sens de l' art. 275ter CP ou de bande au sens des art. 139 ch. 3 al. 2 et 140 ch. 3 al. 1 CP; elle implique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aux groupements terroristes, etc.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particulier de l'enrichissement par des moyens criminels, il suppose que l'organisation s'efforce de se procurer des avantages patrimoniaux illégaux en commettant des crimes; sont notamment visés les infractions constitutives de crimes contre le patrimoine et les crimes prévus par la loi fédérale sur les stupéfiants (arrêt 6S.463/1996 du 27 août 1996, consid. 4b, publié in SJ 1997 p. 1; FF 1993 III 289 ss).</w:t>
      </w:r>
    </w:p>
    <w:p>
      <w:r>
        <w:rPr>
          <w:b/>
        </w:rPr>
        <w:t>E. 2.3.2</w:t>
      </w:r>
    </w:p>
    <w:p>
      <w:r>
        <w:t>Il ressort du dossier de l'enquête américaine que D.________ a reconnu agir pour une organisation criminelle derrière laquelle apparaissaient des trafiquants de haut niveau, tel C.________, lequel avait le contrôle du cartel de la côte nord de la Colombie. D.________ a déclaré que la totalité de ses revenus provenait du trafic de stupéfiants. Son rôle consistait à introduire aux Etats-Unis d'Amérique de la cocaïne par bateau des Bahamas en Floride, à collecter et blanchir le produit de cette drogue. Le gendre de D.________, E.________, a également admis sa participation à un réseau de trafiquants sévissant entre les Bahamas et les Etats-Unis d'Amérique. La Cour de cassation vaudoise a par ailleurs indiqué que l'activité déployée par D.________ et E.________ en Suisse, soit l'acheminement et le blanchiment du produit des ventes de drogue, correspondait à une tâche précise et planifiée pour le compte d'une organisation de plus large niveau, dépourvue de transparence. Les éléments précités attestent que l'on a affaire à un réseau de trafiquants de drogue se livrant à un très important trafic. Les déclarations de D.________ et de E.________ aux enquêteurs américains ne suscitent aucun doute à propos d'une organisation criminelle. Aussi, faut-il admettre l'existence d'une organisation telle que visée par l' art. 305bis ch. 2 let. a CP .</w:t>
      </w:r>
    </w:p>
    <w:p>
      <w:r>
        <w:rPr>
          <w:b/>
        </w:rPr>
        <w:t>E. 2.4</w:t>
      </w:r>
    </w:p>
    <w:p>
      <w:r>
        <w:t>Le recourant soutient qu'il ne saurait être considéré comme membre de l'organisation. L' art. 305bis ch. 2 let. a CP exige que le délinquant ait agi comme membre d'une organisation criminelle. Le membre est celui qui est impliqué dans l'organisation et non celui qui fournit simplement une aide à celle-ci. La notion de membre se recoupe avec celle de participant à une organisation criminelle de l' art. 260ter ch. 1 al. 1 CP (cf. Jürg-Beat Ackermann, Geldwäscherei, in Kommentar Einziehung, organisiertes Verbrechen, Geldwäscherei, vol. I, Zurich 1998, Niklaus Schmid [éd.], § 5 n. 431). Une fonction dirigeante n'est pas requise pour être membre, une fonction subalterne pouvant suffire. Participe comme membre de l'organisation celui qui s'y intègre et y déploie une activité concourant à la poursuite du but criminel de l'organisation. Une participation occasionnelle à une opération précise ne suffit pas. Il faut une coopération avec l'organisation qui dénote l'appartenance à celle-ci (cf. arrêt 6S.463/1996 précité, consid. 4b, publié in SJ 1997 p. 1; Bernard Corboz, Les infractions en droit suisse, vol. II, Berne 2002, art. 260ter CP n. 7; Günter Stratenwerth, Schweizerisches Strafrecht, Bes. Teil II, 5e éd., Berne 2000, § 40 n. 25; Hans Baumgartner, Basler Kommentar, Strafgesetzbuch II, 2003, art. 260ter CP n. 11; Gunther Arzt, Organisiertes Verbrechen, in Kommentar Einziehung, organisiertes Verbrechen, Geldwäscherei, vol. I, Zurich 1998, Niklaus Schmid [éd.], § 4 n. 132 ss; Jörg Rehberg, Strafrecht IV, 2e éd., Zurich 1996, p. 171/172). Le recourant a été l'homme à tout faire, traducteur, agent fiduciaire, représentant en Suisse de D.________ et E.________, lesquels avaient une confiance absolue en lui. Il a joué un rôle bien défini dans le but poursuivi par D.________, soit mettre en sûreté les fonds. Il a fourni un appui logistique durable et indispensable, ce qu'il savait. L'activité reprochée s'étend sur plus d'une année. Il a en particulier ouvert des coffres à son nom. Il a transporté en une dizaine de voyages de l'argent liquide en Autriche et à Andorre et a ouvert dans ces pays des comptes bancaires à son nom pour le recevoir. Il est ensuite de nouveau intervenu pour que cet argent soit viré en Suisse. Il s'est tenu à l'entière disposition de D.________ et E.________ et s'est soumis à leur volonté. Pour l'essentiel, le recourant s'écarte des constatations précitées en prétendant que sa seule fonction a été celle de chauffeur de limousine. Dans cette mesure, son argumentation est irrecevable. Sur la base des faits retenus, qui lient le Tribunal fédéral, il n'apparaît pas que le recourant aurait simplement apporté une aide ponctuelle. Au contraire, il a occupé une place décisive dans les différentes opérations de transfert d'argent qui se sont déroulées sur plus d'une année. Il a ainsi collaboré de manière importante à la poursuite du but criminel de l'organisation. La conclusion selon laquelle il a agi comme membre d'une telle organisation ne viole pas le droit fédéral.</w:t>
      </w:r>
    </w:p>
    <w:p>
      <w:r>
        <w:rPr>
          <w:b/>
        </w:rPr>
        <w:t>E. 2.5</w:t>
      </w:r>
    </w:p>
    <w:p>
      <w:r>
        <w:t>Le recourant affirme encore que l'élément subjectif de l'infraction n'est pas réalisé. Il n'aurait eu ni l'intention ni la conscience de blanchir de l'argent et soutient avoir agi par négligence. Déterminer ce que l'auteur sait, veut ou l'éventualité à laquelle il consent relève de l'établissement des faits ( ATF 126 IV 209 consid. 2d p. 215; 125 IV 49 consid. 2d p. 56). Selon les constatations cantonales, le recourant connaissait la provenance illicite des fonds; il savait que D.________ appartenait à un réseau qui vendait de la drogue; il était non seulement conscient de la provenance criminelle des valeurs patrimoniales, mais également des moyens mis en oeuvre pour entraver leur identification (cf. arrêt attaqué, p. 17 ss). L'argumentation du recourant s'écarte des faits précités ou n'en tient pas compte, de sorte qu'elle apparaît irrecevable. Quoi qu'il en soit, à partir de telles constatations factuelles, c'est sans violer le droit fédéral que la Cour de cassation vaudoise a retenu que le recourant avait agi intentionnellement.</w:t>
      </w:r>
    </w:p>
    <w:p>
      <w:r>
        <w:rPr>
          <w:b/>
        </w:rPr>
        <w:t>E. 3</w:t>
      </w:r>
    </w:p>
    <w:p>
      <w:r>
        <w:t>Le pourvoi doit être rejeté dans la mesure où il est recevable. Le recourant, qui succombe, supporte les frais de la procédure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