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6S.241/2002 vom 20. September 2002</w:t>
      </w:r>
    </w:p>
    <w:p>
      <w:r>
        <w:t>Bundesgericht, 2002-09-20, DE</w:t>
      </w:r>
    </w:p>
    <w:p>
      <w:r>
        <w:rPr>
          <w:b/>
        </w:rPr>
        <w:t xml:space="preserve">Quelle: </w:t>
      </w:r>
      <w:r>
        <w:t>https://mcp.opencaselaw.ch/entscheid/bger_6S.241_2002</w:t>
      </w:r>
    </w:p>
    <w:p>
      <w:r>
        <w:t>FR: TF 6S.241/2002 du 20 septembre 2002</w:t>
      </w:r>
    </w:p>
    <w:p>
      <w:r>
        <w:t>IT: TF 6S.241/2002 del 20 settembre 2002</w:t>
      </w:r>
    </w:p>
    <w:p>
      <w:pPr>
        <w:pStyle w:val="Heading2"/>
      </w:pPr>
      <w:r>
        <w:t>Erwägungen</w:t>
      </w:r>
    </w:p>
    <w:p>
      <w:r>
        <w:rPr>
          <w:b/>
        </w:rPr>
        <w:t>E. 1</w:t>
      </w:r>
    </w:p>
    <w:p>
      <w:r>
        <w:t>Der Beschwerdeführer rügt ausschliesslich die Anwendung von Art. 187 Ziff. 1 Abs. 3 StGB . Er bestreitet, die Kinder im Sinne dieser Bestimmung in eine sexuelle Handlung einbezogen zu haben; insbesondere habe er die sexuellen Handlungen nicht gezielt vor ihnen vorgenommen.</w:t>
      </w:r>
    </w:p>
    <w:p>
      <w:r>
        <w:rPr>
          <w:b/>
        </w:rPr>
        <w:t>E. 1.1</w:t>
      </w:r>
    </w:p>
    <w:p>
      <w:r>
        <w:t>Strafbar macht sich gemäss Art. 187 Ziff. 1 Abs. 3 StGB , wer ein Kind unter sechzehn Jahren "in eine sexuelle Handlung einbezieht" ("aura mêlé ... à un acte d'ordre sexuel", "coinvolge ... in un atto sessuale"). In der Botschaft über die Änderung des Schweizerischen Strafgesetzbuches vom 26. Juni 1985 wird hierzu ausgeführt, ein Einbeziehen liege vor, wenn "der Täter bewusst die geschlechtliche Handlung vor dem Kind ausführt und will, dass dieses die Handlung wahrnimmt". Aus der Botschaft ergibt sich ferner, dass im Gegensatz zum früheren Recht straflos bleiben soll, wer bloss in Kauf nimmt, dass ein Kind seine Handlung wahrnehmen kann (BBl 1985 1067). In der Lehre wird denn auch hervorgehoben, dass von einem Einbeziehen in die Handlung erst gesprochen werden kann, wenn es gerade die Wahrnehmung des Kindes ist, worauf sie abzielt, wenn also das Kind gezielt als Zuschauer einer sexuellen Handlung herangezogen wird (Guido Jenny, Kommentar zum schweizerischen Strafrecht, Bd. 4, Bern 1997, N. 21 zu Art. 187; Bernard Corboz, Les principales infractions II, Bern 2002, n. 24 et 25 ad art. 187; Jörg Rehberg/Niklaus Schmid, Strafrecht III, 7. Aufl., Zürich 1997, S. 382).</w:t>
      </w:r>
    </w:p>
    <w:p>
      <w:r>
        <w:rPr>
          <w:b/>
        </w:rPr>
        <w:t>E. 1.2</w:t>
      </w:r>
    </w:p>
    <w:p>
      <w:r>
        <w:t>Die Vorinstanz führt aus, dass der Beschwerdeführer "eine Wahrnehmung seiner sexuellen Handlung durch die Kinder wollte, respektive mindestens in Kauf genommen hat, wobei letzteres ausreicht" (Urteil E. 3b/bb in fine). Aus dem letzten Satzteil der zitierten Passage ist zu schliessen, dass das Obergericht lediglich Eventualvorsatz annimmt. Wie oben dargelegt (E. 1.1), genügt jedoch Eventualvorsatz nicht. Der Täter muss die Wahrnehmung seiner sexuellen Handlung durch die Kinder als eigentliches Handlungsziel verfolgen. Der Beschwerdeführer nahm laut den verbindlichen Feststellungen der Vorinstanz (vgl. Art. 277bis Abs. 1 BStP ) allenfalls nur in Kauf, dass die Kinder seine Handlung wahrnehmen würden. Es steht somit nicht fest, dass diese Wahrnehmung durch die Kinder sein eigentliches Handlungsziel war. Art. 187 Ziff. 1 Abs. 3 StGB ist folglich nicht anwendbar.</w:t>
      </w:r>
    </w:p>
    <w:p>
      <w:r>
        <w:rPr>
          <w:b/>
        </w:rPr>
        <w:t>E. 2</w:t>
      </w:r>
    </w:p>
    <w:p>
      <w:r>
        <w:t>Die Nichtigkeitsbeschwerde ist gutzuheissen. Es werden keine Kosten erhoben, und dem Beschwerdeführer wird eine Entschädigung aus der Bundesgerichtskasse zugesprochen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