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6S.23/2002 vom 8. April 2002</w:t>
      </w:r>
    </w:p>
    <w:p>
      <w:r>
        <w:t>Bundesgericht, 2002-04-08, FR</w:t>
      </w:r>
    </w:p>
    <w:p>
      <w:r>
        <w:rPr>
          <w:b/>
        </w:rPr>
        <w:t xml:space="preserve">Quelle: </w:t>
      </w:r>
      <w:r>
        <w:t>https://mcp.opencaselaw.ch/entscheid/bger_6S.23_2002</w:t>
      </w:r>
    </w:p>
    <w:p>
      <w:r>
        <w:t>FR: TF 6S.23/2002 du 8 avril 2002</w:t>
      </w:r>
    </w:p>
    <w:p>
      <w:r>
        <w:t>IT: TF 6S.23/2002 del 8 aprile 2002</w:t>
      </w:r>
    </w:p>
    <w:p>
      <w:pPr>
        <w:pStyle w:val="Heading2"/>
      </w:pPr>
      <w:r>
        <w:t>Regeste</w:t>
      </w:r>
    </w:p>
    <w:p>
      <w:r>
        <w:t>Infractions</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124 IV 53 consid. 1 p. 55, 81 consid. 2a p. 83 et les arrêts cités).</w:t>
      </w:r>
    </w:p>
    <w:p>
      <w:r>
        <w:rPr>
          <w:b/>
        </w:rPr>
        <w:t>E. 2</w:t>
      </w:r>
    </w:p>
    <w:p>
      <w:r>
        <w:t>Le recourant soutient qu'il ne pouvait être considéré comme coauteur des escroqueries commises au préjudice des clients de N.________ SA. Il fait valoir que, s'agissant des clients de cette société, on ne peut lui reprocher qu'un comportement passif, soit de n'être pas intervenu pour empêcher que ceux-ci soient trompés, et que, comme administrateur, il n'avait pas envers eux une position de garant. a) La tromperie que suppose l'escroquerie peut consister soit à induire la victime en erreur, par des affirmations fallacieuses ou par la dissimulation de faits vrais, soit à conforter la victime dans son erreur (cf. art. 146 al. 1 CP ).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cette hypothèse se distingue des deux précédentes en ce sens que l'erreur est préexistante (cf. Corboz, Les principales infractions, vol. I, Berne 1997, p. 140 ss, n° 1 ss et les références citées).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et le plan d'action, la contribution du coauteur apparaisse essentielle à l'exécution de l'infraction; la seule volonté quant à l'acte ne suffit pas; il n'est toutefois pas nécessaire que le coauteur ait effectivement participé à l'exécution de l'acte ou ait pu l'influencer. La coactivité suppose une décision commune, mais qui ne doit pas nécessairement être expresse; elle peut aussi résulter d'actes concluants et le dol éventuel quant au résultat suffit. Il n'est pas nécessaire que le coauteur participe à la conception du projet; il peut y adhérer ultérieurement. Il n'est pas non plus nécessaire que l'acte soit prémédité; le coauteur peut s'y associer en cours d'exécution. Ce qui est déterminant c'est que l'auteur se soit associé à la décision dont est issue l'infraction ou à la réalisation de cette dernière, dans des conditions ou dans une mesure qui le font apparaître comme un participant non pas secondaire, mais principal ( ATF 125 IV 134 consid. 3a p. 136 et les arrêts cités). b) En l'espèce, la tromperie a consisté à cacher aux clients de N.________ SA, comme de G.________ SA, la situation désastreuse de la société, en particulier les pertes qu'elle subissait, et l'utilisation réelle qui était faite de leurs fonds, à savoir qu'ils étaient engloutis dans les dépenses de la société, dans le train de vie de X.________ et dans le remboursement des dettes contractées auprès des banques. Des faits retenus, il résulte que les clients n'ont pas seulement été tenus dans l'ignorance de la situation réelle de la société et de l'utilisation effective qui était faite de leurs fonds, mais qu'ils ont notamment reçu des relevés falsifiés. Dans cette mesure, on ne se trouverait pas en présence d'une dissimulation de faits vrais commise par pure omission, mais aussi par commission, les associés n'ayant pas seulement gardé le silence, mais s'étant aussi employés par leurs actes à cacher la réalité. S'agissant du recourant, c'est toutefois essentiellement, voire exclusivement, une omission qui lui a été reprochée, soit de n'avoir rien entrepris pour éviter que les clients ne soient trompés et que leurs avoirs soient détournés. Il y a dès lors lieu de se demander s'il avait une position de garant par rapport aux clients, notamment une obligation de les renseigner (cf. supra, let. a). c) Il résulte de l'arrêt attaqué que N.________ SA, dont le but social était d'ailleurs la gestion de fortune, avait reçu mandat de gérer les avoirs des clients. Elle était donc tenue de respecter les règles du mandat ( art. 394 ss CO ), qui sont applicables au contrat de gestion de fortune, en tout cas en ce qui concerne les devoirs et la responsabilité du gérant (arrêt 4C.97/1997 du 29 octobre 1997 consid. 3a, publié in SJ 1998 p. 198 et les arrêts cités). Elle devait en particulier respecter le devoir de fidèle exécution du mandat ( art. 398 al. 2 CO ), qui implique notamment celui de renseigner le mandant, lequel s'étend à tout ce qui est d'importance pour ce dernier ( ATF 115 II 62 consid. 3a p. 64/65). En tant qu'administrateur de N.________ SA, le recourant devait veiller au respect de ces règles; cela faisait partie de son obligation de faire preuve de toute la diligence nécessaire à la gestion des affaires sociales ( art. 717 al. 1 CO ; art. 722 al. 1 aCO), laquelle est étroitement liée aux règles sur la responsabilité figurant à l' art. 754 CO . Il avait donc bien une position de garant envers les clients de la société. d) Contrairement à ce que laisse entendre le recourant, sa participation aux escroqueries ne s'est pas limitée à celles commises au préjudice des clients de G.________ SA ni à un rôle purement passif. Selon les constatations de fait cantonales, qui lient la Cour de céans et ne sauraient donc être remises en cause (cf. supra, consid. 1), le recourant, comme ses associés, était au courant de tout ce qui se déroulait dans les sociétés, donc aussi bien dans N.________ SA que dans G.________ SA; il était en particulier au courant des pertes de N.________ SA, des raisons de ces pertes, des prélèvements de X.________, des attributions fictives de gain et du fait que les opérations mentionnées dans la comptabilité ne correspondaient à rien ainsi que de l'utilisation qui était faite des fonds des clients. Or, il a été constaté que le recourant a pris, en commun avec X.________, les décisions essentielles et qu'il a notamment décidé avec celui-ci des opérations financières à effectuer. Le recourant a donc, en toute connaissance de cause, pris part aux décisions dont sont issues les infractions en cause, dans des conditions ou dans une mesure qui le font apparaître comme un participant non pas secondaire, mais principal. Par la suite, alors qu'il avait une position de garant envers les clients de la société (cf. supra, let. c), il s'est abstenu d'intervenir pour éviter que ceux-ci ne soient trompés, omettant notamment de les renseigner sur les pertes subies et sur ce qu'il advenait de leurs fonds. Il n'était dès lors pas contraire au droit fédéral d'admettre que le recourant a participé, en tant que coauteur, aux escroqueries commises au préjudice des clients de N.________ SA.</w:t>
      </w:r>
    </w:p>
    <w:p>
      <w:r>
        <w:rPr>
          <w:b/>
        </w:rPr>
        <w:t>E. 3</w:t>
      </w:r>
    </w:p>
    <w:p>
      <w:r>
        <w:t>Le recourant se plaint de la peine qui lui a été infligée, plus précisément de ce qu'il n'ait pas été tenu compte dans la fixation de la peine de la limite de 18 mois au-delà de laquelle le sursis ne peut pas être accordé. Selon la jurisprudence, la prise en considération de l'élément invoqué suppose, outre la réalisation des conditions permettant l'octroi du sursis, que la peine privative de liberté que le juge envisage de prononcer ne soit pas d'une durée nettement supérieure à 18 mois, ce qui n'est le cas que si elle n'excède pas 21 mois ( ATF 127 IV 97 consid. 3 p. 100 s.). Comme, en l'espèce, l'autorité cantonale envisageait de prononcer une peine privative de liberté de 2 ans, le refus de tenir compte de l'élément invoqué ne viole pas le droit fédéral. Pour le surplus, la peine infligée n'est pas contestée. On ne voit du reste pas qu'elle aurait été arrêtée sur la base de critères étrangers à l' art. 63 CP ou en omettant de tenir compte d'éléments importants à prendre en considération et on ne saurait dire qu'elle serait excessive au point de constituer un abus du pouvoir d'appréciation ( ATF 123 IV 49 consid. 2a p. 51 et les arrêts cités).</w:t>
      </w:r>
    </w:p>
    <w:p>
      <w:r>
        <w:rPr>
          <w:b/>
        </w:rPr>
        <w:t>E. 4</w:t>
      </w:r>
    </w:p>
    <w:p>
      <w:r>
        <w:t>Le pourvoi doit ainsi être rejeté. Comme il était d'emblée dénué de chances de succès, l'assistance judiciaire ne peut être accordée ( art. 152 al. 1 OJ ) et les frais seront mis à la charge du recourant, qui succombe ( art. 278 al. 1 PPF ). La cause étant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