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6S.239/2000 vom 30. August 2000</w:t>
      </w:r>
    </w:p>
    <w:p>
      <w:r>
        <w:t>Bundesgericht, 2000-08-30, DE</w:t>
      </w:r>
    </w:p>
    <w:p>
      <w:r>
        <w:rPr>
          <w:b/>
        </w:rPr>
        <w:t xml:space="preserve">Quelle: </w:t>
      </w:r>
      <w:r>
        <w:t>https://mcp.opencaselaw.ch/entscheid/bger_6S.239_2000</w:t>
      </w:r>
    </w:p>
    <w:p>
      <w:r>
        <w:t>FR: TF 6S.239/2000 du 30 août 2000</w:t>
      </w:r>
    </w:p>
    <w:p>
      <w:r>
        <w:t>IT: TF 6S.239/2000 del 30 agosto 2000</w:t>
      </w:r>
    </w:p>
    <w:p>
      <w:pPr>
        <w:pStyle w:val="Heading2"/>
      </w:pPr>
      <w:r>
        <w:t>Regeste</w:t>
      </w:r>
    </w:p>
    <w:p>
      <w:r>
        <w:t>Straftaten</w:t>
      </w:r>
    </w:p>
    <w:p>
      <w:pPr>
        <w:pStyle w:val="Heading2"/>
      </w:pPr>
      <w:r>
        <w:t>Erwägungen</w:t>
      </w:r>
    </w:p>
    <w:p>
      <w:r>
        <w:rPr>
          <w:b/>
        </w:rPr>
        <w:t>E. 1</w:t>
      </w:r>
    </w:p>
    <w:p>
      <w:r>
        <w:t>Die Vorinstanz erachtet in Übereinstimmung mit der ersten Instanz den in der Anklageschrift geschilderten Sachverhalt als erwiesen. In rechtlicher Hinsicht verweist die Vorinstanz auf die ihrer Auffassung nach zutreffenden Erwägungen der ersten Instanz.</w:t>
      </w:r>
    </w:p>
    <w:p>
      <w:r>
        <w:rPr>
          <w:b/>
        </w:rPr>
        <w:t>E. 2</w:t>
      </w:r>
    </w:p>
    <w:p>
      <w:r>
        <w:t>Der Beschwerdeführer macht geltend, der Schuldspruch der versuchten Vergewaltigung verletze Bundesrecht. a) Die erste Instanz führt aus, der Beschwerdeführer habe am 13. oder 20. Oktober 1997 die Beschwerdegegnerin in der Damengarderobe gepackt, wobei er die Hosen bereits unten gehabt habe. Danach habe er versucht, ihr ihre Leggings auszuziehen und mit dem Penis in sie einzudringen, wobei sie sich dagegen gewehrt habe. Es sei ihm deshalb lediglich teilweise gelungen, ihre Leggings auszuziehen, wobei er während der Tathandlung gesagt habe: "Komm, wir machen es miteinander. Es ist doch schön". Damit habe der Beschwerdeführer den Beischlaf mit der Beschwerdegegnerin erzwingen wollen, indem er sie mit Gewalt gepackt und versucht habe, ihre Hosen gegen ihren Willen herunterzuziehen. Sein Verhalten sei unmissverständlich auf die Beischlafshandlung gerichtet gewesen, habe er doch bereits seine Hosen ausgezogen gehabt und der Beschwerdegegnerin gesagt, sie sollen "es miteinander machen". Die Beschwerdegegnerin habe ihm klar gezeigt, dass sie das nicht wolle, indem sie sich dagegen gewehrt habe, dass er ihr die Leggings auszog. Aufgrund der Gegenwehr der Beschwerdegegnerin sei es nicht zum Beischlaf gekommen. Es seien somit nicht alle objektiven Tatbestandsmerkmale erfüllt. In subjektiver Hinsicht habe der Beschwerdeführer vorsätzlich gehandelt. Es liege ein Versuch der Vergewaltigung gemäss Art. 190 Abs. 1 in Verbindung mit Art. 21 StGB vor. b) Der Beschwerdeführer wendet ein, sein Verhalten sei nicht darauf gerichtet gewesen, den geleisteten oder erwarteten Widerstand zu brechen. Er habe in dem Moment, als die Beschwerdegegnerin Widerstand geleistet habe, davon Abstand genommen, den Geschlechtsverkehr durchsetzen zu wollen. Der ihm vorgeworfene körperliche Übergriff unterscheide sich nicht wesentlich von jenen körperlichen Einwirkungen, die bei einem einverständlichen Geschlechtsverkehr üblich seien. Damit sei die erforderliche Intensität der Gewalteinwirkung nicht gegeben. Der Versuch, mit einem überraschenden Vorgehen (begleitet von einem verbalen Überredungsversuch) zum Beischlaf mit einer Frau zu gelangen, sei nicht gleichzusetzen mit dem verbrecherischen Einsatz von Zwangsmitteln, die das Ziel hätten, den Widerstand des Opfers zu brechen. c) Gemäss Art. 190 Abs. 1 StGB wird wegen Vergewaltigung bestraft, wer eine Person weiblichen Geschlechts zur Duldung des Beischlafs nötigt, namentlich indem er sie bedroht, Gewalt anwendet, sie unter psychischen Druck setzt oder zum Widerstand unfähig macht. Der Schuldspruch der versuchten Vergewaltigung verletzt kein Bundesrecht. Vorab ist dem Beschwerdeführer entgegenzuhalten, dass die von ihm angewandte Gewalt nicht als "gering" bezeichnet werden kann, hat er die Beschwerdegegnerin doch, nachdem er selber seine Hosen ausgezogen hatte, mit Gewalt gepackt und versucht, ihre Hosen gegen ihren Willen herunterzuziehen, was ihm auch teilweise gelang. Nicht nachvollziehbar ist die Behauptung des Beschwerdeführers, sein Verhalten sei nicht darauf gerichtet gewesen, den geleisteten oder erwarteten Widerstand zu brechen: Das Packen der Beschwerdegegnerin und das Herunterreissen der Hosen (das nur teilweise gelang) hatte zum Ziel, ihren Widerstand zu brechen, um nachher den Geschlechtsverkehr vollziehen zu können. Aus dem Kontext der Ausführungen der ersten Instanz geht zweifellos hervor, dass diese dem Beschwerdeführer vorgeworfen hat, den Widerstand der Beschwerdegegnerin gewaltsam zu überwinden. Damit ist auch gesagt, dass die kantonalen Instanzen kein Bundesrecht verletzt haben, als sie den subjektiven Tatbestand als erfüllt erachtet haben. Auch in diesem Zusammenhang ist darauf hinzuweisen, dass aus dem Kontext der Ausführungen der ersten Instanz klar hervorgeht, dass diese davon ausging, der Beschwerdeführer habe mit Gewalt den Widerstand der Beschwerdegegnerin brechen wollen. Die Beschwerde ist in diesem Punkt abzuweisen, soweit darauf überhaupt eingetreten werden kann.</w:t>
      </w:r>
    </w:p>
    <w:p>
      <w:r>
        <w:rPr>
          <w:b/>
        </w:rPr>
        <w:t>E. 3</w:t>
      </w:r>
    </w:p>
    <w:p>
      <w:r>
        <w:t>Der Beschwerdeführer bringt vor, die Verurteilung wegen mehrfacher Ausnützung der Notlage bzw. wegen Versuchs der Ausnützung der Notlage verletze Bundesrecht. a) Die erste Instanz führt aus, der Beschwerdeführer habe im Verlaufe des zweiten Gesprächs mit der Beschwerdegegnerin in seinem Büro mit seiner rechten Hand an ihr linkes Bein gegriffen und ihr über den Oberschenkel gestrichen, wobei er gesagt habe, er stelle sie nur ein, weil sie ihm so gut gefalle. Im Weiteren habe er am zweiten Arbeitstag der Beschwerdegegnerin bei der Abrechnung der Kasse an ihr Bein gegriffen und sie aufgefordert, mit ihm in den Ausgang zu kommen. An einem weiteren Datum habe er versucht, die Beschwerdegegnerin im Essraum zu umarmen und zu küssen, wobei ihm dies nur deshalb nicht gelungen sei, weil sie den Kopf weggedreht habe. Bei der rechtlichen Würdigung führt die erste Instanz aus, das Berühren des Beines und das Streichen über den Oberschenkel beim zweiten Gespräch stelle eine sexuelle Handlung dar, nachdem der Beschwerdeführer die Beschwerdegegnerin keinesfalls gut gekannt habe, so dass es sich nicht um ein kollegiales Berühren habe handeln können. Der sexuelle Charakter der Handlung ergebe sich auch daraus, dass der Beschwerdeführer der Beschwerdegegnerin gesagt habe, er stelle sie nur an, weil sie ihm gefalle. Im Weiteren erscheine klar, dass die Beschwerdegegnerin das Streicheln der Oberschenkel nicht gewollt und dies lediglich geduldet habe, weil der Beschwerdeführer ihr Chef werden sollte und sie die Arbeit benötigt habe. Er habe vorsätzlich gehandelt. Auch das Berühren des Beines am zweiten Arbeitstag stelle eine sexuelle Handlung dar, nachdem der Beschwerdeführer die Beschwerdegegnerin gleichzeitig aufgefordert habe, mit ihm in den Ausgang zu gehen. Ebenso handle es sich beim Versuch des Beschwerdeführers, die Beschwerdegegnerin zu umarmen und zu küssen, um eine sexuelle Handlung. b) Der Beschwerdeführer macht geltend, die Annahme sexueller Handlungen sei bundesrechtswidrig. Sein Verhalten sei bloss dem Bereich des Unanständigen, Unangebrachten und Anstössigen zuzuordnen. c) Gemäss Art. 193 Abs. 1 StGB ist wegen Ausnützung der Notlage strafbar, wer eine Person veranlasst, eine sexuelle Handlung vorzunehmen oder zu dulden, indem er eine Notlage oder eine durch ein Arbeitsverhältnis oder eine in anderer Weise begründete Abhängigkeit ausnützt. Nach der Rechtsprechung lassen sich sexuelle Handlungen nach der Eindeutigkeit ihres Sexualbezugs abgrenzen. Keine sexuellen Handlungen sind Verhaltensweisen, die nach ihrem äusseren Erscheinungsbild keinen unmittelbaren sexuellen Bezug aufweisen. Als sexuelle Handlungen gelten hingegen Verhaltensweisen, die für den Aussenstehenden nach ihrem äusseren Erscheinungsbild eindeutig sexualbezogen sind. Bei dieser objektiven Betrachtungsweise bleiben das subjektive Empfinden, die Motive oder die Bedeutung, die das Verhalten für den Täter oder das Opfer hat, ausser Betracht. Eindeutig sexualbezogene Handlungen erfüllen stets den objektiven Tatbestand. Auf die Motive des Täters kommt es nicht an. Schwierigkeiten bietet die dritte Gruppe der so genannten ambivalenten Handlungen, die weder äusserlich neutral noch eindeutig sexualbezogen erscheinen ( BGE 125 IV 58 E. 3b mit Hinweisen). Der Begriff der sexuellen Handlung kann sich nur auf Verhaltensweisen erstrecken, die im Hinblick auf das geschützte Rechtsgut erheblich sind. Wie das Bundesgericht in BGE 125 IV 58 E. 3b zu Art. 187 StGB unter Hinweis auf Jenny (Kommentar zum schweizerischen Strafrecht, Schweizerisches Strafgesetzbuch, Besonderer Teil,</w:t>
      </w:r>
    </w:p>
    <w:p>
      <w:r>
        <w:rPr>
          <w:b/>
        </w:rPr>
        <w:t>E. 4</w:t>
      </w:r>
    </w:p>
    <w:p>
      <w:r>
        <w:t>Die Beschwerde wird abgewiesen, soweit darauf eingetreten werden kann. Bei diesem Ausgang des Verfahrens trägt der Beschwerdeführer die Kosten ( Art. 278 Abs. 1 BStP ). Der Beschwerdegegnerin wird eine Entschädigung ausgerichtet. Der Beschwerdeführer hat der Bundesgerichtskasse dafür Ersatz zu leisten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