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6S.21/2003 vom 11. März 2003</w:t>
      </w:r>
    </w:p>
    <w:p>
      <w:r>
        <w:t>Bundesgericht, 2003-03-11, FR</w:t>
      </w:r>
    </w:p>
    <w:p>
      <w:r>
        <w:rPr>
          <w:b/>
        </w:rPr>
        <w:t xml:space="preserve">Quelle: </w:t>
      </w:r>
      <w:r>
        <w:t>https://mcp.opencaselaw.ch/entscheid/bger_6S.21_2003</w:t>
      </w:r>
    </w:p>
    <w:p>
      <w:r>
        <w:t>FR: TF 6S.21/2003 du 11 mars 2003</w:t>
      </w:r>
    </w:p>
    <w:p>
      <w:r>
        <w:t>IT: TF 6S.21/2003 del 11 marzo 2003</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2</w:t>
      </w:r>
    </w:p>
    <w:p>
      <w:r>
        <w:t>Invoquant une violation de l' art. 112 CP , le recourant soutient que les éléments retenus par la cour cantonale, à savoir la froideur de l'exécution de l'acte, l'acharnement, le mobile absolument égoïste, le sang froid, la détermination extraordinaire et l'abandon de la victime après le dernier coup de feu, seraient insuffisants pour retenir le délit manqué d'assassinat, plutôt que celui de meurtre.</w:t>
      </w:r>
    </w:p>
    <w:p>
      <w:r>
        <w:rPr>
          <w:b/>
        </w:rPr>
        <w:t>E. 2.1</w:t>
      </w:r>
    </w:p>
    <w:p>
      <w:r>
        <w:t>Selon l' art. 112 CP , il y a assassinat si l'auteur a tué avec une absence particulière de scrupules, notamment si son mobile, son but ou sa façon d'agir est particulièrement odieux. Il s'agit d'une forme qualifiée d'homicide intentionnel, qui se distingue du meurtre ordinaire ( art. 111 CP ) par le caractère particulièrement répréhensible de l'acte.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 Les mobiles de l'auteur sont particulièrement odieux lorsqu'il tue pour obtenir une rémunération, pour voler sa victime ou lorsque le mobile apparaît futile, soit lorsqu'il tue pour se venger, sans motif sérieux, ou encore pour une broutille (cf. Corboz, Les infractions en droit suisse, volume I, Berne 2002, p. 32 n. 8).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Il ne s'agit toutefois là que d'exemples destinés à illustrer la notion; il n'est donc pas nécessaire que l'une de ces hypothèses soit réalisée. On ne saurait cependant conclure à l'existence d'un assassinat dès que l'on distingue, dans un cas d'espèce, l'un ou l'autre élément qui lui confère une gravité particulière; il faut au contraire procéder à une appréciation d'ensemble pour dire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 art. 111 CP ( ATF 127 IV 10 consid. 1a p. 13; 120 IV 265 consid. 3a p. 274; 118 IV 122 consid. 2b p. 125 s.; 117 IV 369 consid. 17 p. 389 ss et les références citées). Il n'y a pas d'absence particulière de scrupules, sous réserve de la façon d'agir, lorsque le motif de l'acte est compréhensible et n'est pas d'un égoïsme absolu, notamment lorsqu'il résulte d'une grave situation conflictuelle ( ATF 120 IV 265 consid. 3a p. 274; 118 IV 122 consid. 3d p. 129). Une réaction de souffrance fondée sérieusement sur des motifs objectifs imputables à la victime exclut en général la qualification d'assassinat ( ATF 118 IV 122 consid. 3d p. 129). La responsabilité restreinte, l'émotion ou des particularités de caractère n'excluent pas la qualification d'assassinat (arrêt non publié du Tribunal fédéral du 22 décembre 1997 6S.780/1997; Rehberg/Schmid, Strafrecht III, 8ème éd., Zurich 2003, p. 9; Corboz, op. cit., p. 34, n. 22; Basler Kommentar, Strafgesetzbuch II, Christian Schwarzenegger, ad art. 112, p. 43, n. 25).</w:t>
      </w:r>
    </w:p>
    <w:p>
      <w:r>
        <w:rPr>
          <w:b/>
        </w:rPr>
        <w:t>E. 2.2</w:t>
      </w:r>
    </w:p>
    <w:p>
      <w:r>
        <w:t>Des constatations de fait cantonales qui lient la Cour de céans (cf. supra, consid. 1), il résulte que le caractère impulsif et imprévisible du recourant, son infidélité avouée et son penchant pour l'alcool ont entraîné la séparation d'avec la victime au mois d'août 1999; le recourant a mal accepté cette rupture et a notamment averti son ex-amie de ne pas se trouver devant sa voiture; il a cherché à de nombreuses et vaines reprises à la convaincre de reprendre la vie commune; A.________ n'a jamais affiché une conduite vexatoire envers son ex-compagnon. Dans ces circonstances, on ne discerne aucun comportement de la victime susceptible de provoquer une haine homicide. Le recourant a donc voulu tuer une personne dont il n'avait pas eu à souffrir. Concernant les mobiles de l'homicide, l'arrêt attaqué constate, ce qui relève du fait et lie donc la Cour de céans (cf. supra, consid. 1), que le recourant a voulu tuer son ex-amie par pur égoïsme, car il ne supportait pas qu'elle pût vivre sans lui et échappât à sa sphère d'influence et qu'il la considérait comme un simple objet de possession; il a agi pour se venger d'une séparation causée par son propre comportement et au motif que sa victime n'avait pas répondu à ses appels et messages téléphoniques au cours de la soirée de la St-Sylvestre. Ainsi, le recourant a agi sans motifs sérieux, soit pour se venger et par pur égoïsme. Ses mobiles étaient dès lors particulièrement odieux. Il ressort des constatations cantonales relatives à la façon d'agir du recourant, que celui-ci a patienté près de cinq heures pour pouvoir exécuter son plan; faisant preuve d'une détermination extraordinaire, il a ensuite persévéré dans son activité criminelle car, après avoir tiré deux fois au travers de la voiture en visant sa victime qui, blessée et sans défense, cherchait à fuir, il s'est alors déplacé pour ajuster sa cible et a encore fait feu à cinq reprises. Sans se préoccuper de l'état de son ex-amie, il est finalement rentré chez lui et a promené son chien avant de se coucher. Un tel comportement dénote une grande froideur affective et une absence totale de scrupules à anéantir la vie humaine. Ainsi, au regard des mobiles purement égocentriques et de la façon d'agir, froide, déterminée et acharnée du recourant, l'acte commis justifie la qualification d'assassinat. Contrairement à ce que soutient le recourant, le contexte psychologique ou la configuration psychiatrique ne peuvent jouer un rôle, par l'application de l' art. 11 CP , qu'au stade de la fixation de la peine, mais non pas au stade de la qualification de l'infraction, qui suppose un jugement moral objectif sur les circonstances de l'acte (cf. consid. 2.1 in fine).</w:t>
      </w:r>
    </w:p>
    <w:p>
      <w:r>
        <w:rPr>
          <w:b/>
        </w:rPr>
        <w:t>E. 3</w:t>
      </w:r>
    </w:p>
    <w:p>
      <w:r>
        <w:t>Invoquant une violation de l' art. 63 CP , le recourant se plaint de la sévérité de la peine qui lui a été infligée.</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 consid. 2c p. 104; 124 IV 286 consid. 4a p. 295; 123 IV 49 consid. 2a p. 51, 150 consid. 2a p. 152s et les arrêts cités).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Un pourvoi ne saurait être admis simplement pour améliorer ou compléter un considérant lorsque la décision rendue apparaît conforme au droit ( ATF 127 IV 101 consid. 2c p. 104 s.; 122 IV 265 consid. 2d p. 269).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la situation personnelle et le comportement après l'acte et au cours de la procédure pénale ( ATF 127 IV 101 consid. 2a p. 103; 122 IV 241 consid. 1a p. 243; 118 IV 21 consid. 2b p. 24 s.; 117 IV 112 consid. 1; 116 IV 288 consid. 2a).</w:t>
      </w:r>
    </w:p>
    <w:p>
      <w:r>
        <w:rPr>
          <w:b/>
        </w:rPr>
        <w:t>E. 3.2</w:t>
      </w:r>
    </w:p>
    <w:p>
      <w:r>
        <w:t>Le recourant critique la peine infligée en faisant valoir deux motifs précis.</w:t>
      </w:r>
    </w:p>
    <w:p>
      <w:r>
        <w:rPr>
          <w:b/>
        </w:rPr>
        <w:t>E. 3.2.1</w:t>
      </w:r>
    </w:p>
    <w:p>
      <w:r>
        <w:t>Il soutient d'abord que la cour cantonale n'aurait pas suffisamment tenu compte de ses troubles de la personnalité, ni mentionné le poids accordé à cet élément. Cette critique est vaine. En effet, se basant sur l'expertise psychiatrique, la cour cantonale a relevé que B.________ possédait une intelligence normale moyenne, que ses capacités intellectuelles étaient protégées de la psychose et que ses défenses semblaient solides, mais avaient néanmoins cédé dans le prolongement d'une double séparation, suite au décès de sa mère et à la rupture avec son ex-amie. Elle a constaté que le recourant présentait des facettes de personnalité paranoïaque (psychorigidité, orgueil, apparence froide et calculatrice, besoin du contrôle de l'environnement) et narcissique-perverse (besoin excessif d'être aimé, manque d'empathie, c'est-à-dire aucune disposition à reconnaître ou à partager les sentiments d'autrui et l'exploitation de l'autre dans les relations interpersonnelles). La cour cantonale a encore retenu que le recourant présentait un trouble de la personnalité non spécifié (narcissique, borderline, immature et paranoïaque) assimilable à un développement mental incomplet mais que sa responsabilité était entière et que son alcoolémie entre 0.74 et 1.4 g/kg avait eu un léger effet désinhibiteur, mais aucune influence sur la capacité de l'intéressé à se déterminer d'après l'appréciation du caractère illicite de son acte. Ainsi, la cour cantonale a tenu compte de la personnalité particulière du recourant pour fixer la peine et, conformément à la jurisprudence précitée (cf. supra, consid. 3.1), si la motivation doit justifier la peine prononcée, le juge n'est toutefois pas tenu d'exprimer en chiffres ou en pourcentages l'importance qu'il accorde à chacun des éléments qu'il cite.</w:t>
      </w:r>
    </w:p>
    <w:p>
      <w:r>
        <w:rPr>
          <w:b/>
        </w:rPr>
        <w:t>E. 3.2.2</w:t>
      </w:r>
    </w:p>
    <w:p>
      <w:r>
        <w:t>Le recourant reproche ensuite à la cour cantonale d'avoir tenu compte, dans la fixation de la peine, des mobiles de l'acte alors que cet élément a déjà été retenu pour la qualification de l'assassinat. Il invoque ainsi implicitement l'interdiction de la double prise en considération. Selon la jurisprudence du Tribunal fédéral ( ATF 118 IV 342 consid. 2b p. 347), les circonstances qui conduisent à élever ou à diminuer le cadre de la peine, comme la circonstance aggravante de la bande ( ATF 72 IV 114 ), de la cruauté en cas de brigandage ou de la quantité de drogue vendue ( ATF 118 IV 342 ), ne doivent pas être prises en considération une seconde fois comme éléments aggravants ou atténuants dans le cadre modifié de la peine. En revanche, le juge peut tenir compte dans la fixation de la peine de l'intensité de cette circonstance ( ATF 118 IV 342 consid. 2b/c p. 347 s.). En effet, le juge fixe la peine en fonction de la gravité de la faute qui doit être évaluée au regard notamment des circonstances de l'infraction et de la personne de l'auteur (cf. supra consid. 3.1). En l'espèce, l'argument du recourant tombe à faux. En effet, l'absence particulière de scrupules en tant qu'élément objectif constitutif de l' art. 112 CP suppose une faute particulièrement lourde caractérisée notamment par les mobiles, le but ou la façon d'agir hautement répréhensible de l'auteur. Toutefois, selon la loi, les mobiles de l'auteur importent également, avec les autres critères de l' art. 63 CP , pour évaluer l'importance de la faute.</w:t>
      </w:r>
    </w:p>
    <w:p>
      <w:r>
        <w:rPr>
          <w:b/>
        </w:rPr>
        <w:t>E. 3.2.3</w:t>
      </w:r>
    </w:p>
    <w:p>
      <w:r>
        <w:t>La peine a été fixée dans le cadre légal, en suivant les critères posés par l' art. 63 CP et sans se laisser guider par des considérations étrangères à cette disposition. Le recourant ne peut d'ailleurs citer aucun élément important, propre à modifier la quotité de la peine, qui aurait été omis ou pris en considération à tort. La seule question reste celle de savoir si la peine est exagérément sévère au point de constituer un abus du pouvoir d'appréciation. La cour cantonale a retenu qu'au vu des circonstances, la faute du recourant était d'une gravité extrême et que ses antécédents judiciaires étaient mauvais, son nom figurant déjà au casier judiciaire pour trois autres infractions. Elle a relevé les troubles dont souffrait le recourant, tout en précisant qu'il n'y avait pas lieu d'appliquer les art. 10 ss. CP. Elle a tenu compte des regrets qu'il avait exprimés, du fait qu'il avait reconnu sa faute, de sa conduite exemplaire en détention et a atténué la peine en application de l' art. 65 CP , la victime n'étant pas décédée (cf. art. 22 CP ). Elle a encore pris en considération le concours d'infractions au sens de l' art. 68 ch. 1 CP . Dans ces conditions, on ne saurait dire que la peine de huit ans de réclusion serait excessive au point de constituer un abus du pouvoir d'appréciation; elle ne viole donc pas le droit fédéral.</w:t>
      </w:r>
    </w:p>
    <w:p>
      <w:r>
        <w:rPr>
          <w:b/>
        </w:rPr>
        <w:t>E. 4</w:t>
      </w:r>
    </w:p>
    <w:p>
      <w:r>
        <w:t>Le pourvoi doit ainsi être rejeté. Comme il était d'emblée dénué de chances de succès, l'assistance judiciaire ne peut être accordée ( art. 152 al. 1 OJ ), de sorte que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