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6S.21/2002 vom 20. Juni 2001</w:t>
      </w:r>
    </w:p>
    <w:p>
      <w:r>
        <w:t>Bundesgericht, 2001-06-20, FR</w:t>
      </w:r>
    </w:p>
    <w:p>
      <w:r>
        <w:rPr>
          <w:b/>
        </w:rPr>
        <w:t xml:space="preserve">Quelle: </w:t>
      </w:r>
      <w:r>
        <w:t>https://mcp.opencaselaw.ch/entscheid/bger_6S.21_2002</w:t>
      </w:r>
    </w:p>
    <w:p>
      <w:r>
        <w:t>FR: TF 6S.21/2002 du 20 juin 2001</w:t>
      </w:r>
    </w:p>
    <w:p>
      <w:r>
        <w:t>IT: TF 6S.21/2002 del 20 giugno 2001</w:t>
      </w:r>
    </w:p>
    <w:p>
      <w:pPr>
        <w:pStyle w:val="Heading2"/>
      </w:pPr>
      <w:r>
        <w:t>Regeste</w:t>
      </w:r>
    </w:p>
    <w:p>
      <w:r>
        <w:t>Droit pénal (en général)</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277bis et 273 al. 1 let. b PPF ). Le raisonnement juridique doit être mené sur la base des faits retenus dans la décision attaquée; le recourant est irrecevable à s'en écarter. La Cour de cassation du Tribunal fédéral n'est pas liée par les motifs invoqués, mais elle ne peut aller au-delà des conclusions du recourant ( art. 277bis PPF ). Les conclusions devant être interprétées à la lumière de leur motivation, le recourant a circonscrit les points litigieux ( ATF 126 IV 65 consid. 1 p. 66).</w:t>
      </w:r>
    </w:p>
    <w:p>
      <w:r>
        <w:rPr>
          <w:b/>
        </w:rPr>
        <w:t>E. 2</w:t>
      </w:r>
    </w:p>
    <w:p>
      <w:r>
        <w:t>Invoquant une violation de l' art. 63 CP , le recourant soutient que la peine de vingt ans de réclusion qui lui a été infligée n'est pas suffisamment motivée et est exagérément sévère. Il se réfère à cet égard à un arrêt du 27 janvier 2000 du Tribunal fédéral, qui confirme la condamnation d'un trafiquant à une peine de vingt ans de réclusion pour un trafic de 375 kilos d'héroïne (6S. 801/1999). a) Selon l' art. 63 CP , le juge fixe la peine d'après la culpabilité du délinquant en tenant compte des mobiles, des antécédents et de la situation personnelle de ce dernier. La loi n'énonce cependant pas de manière détaillée et exhaustive les éléments qui doivent être pris en considération, ni les conséquences exactes qu'il faut en tirer quant à la fixation de la peine. Elle laisse donc au juge un large pouvoir d'appréciation, de sorte que le Tribunal fédéral pourra admettre un pourvoi en nullité sur la quotité de la peine seulement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b) Le système consistant à prévoir une peine légale maximale a pour conséquence inévitable que la faute ne joue plus de rôle à partir d'un certain degré. Ainsi, la quotité de la peine ne varie plus si l'auteur commet un assassinat, puis un second, alors que le premier entraînait déjà la réclusion à vie ( ATF 116 IV 300 consid. 2c/dd p. 305). La peine maximale ne saurait pas être infligée seulement si l'on ne peut pas imaginer de faute plus grave. Cette condition n'est en effet jamais réalisée, car on peut toujours imaginer un cas hypothétique qui corresponde à une faute plus grave. Cela dit, la sanction de vingt ans de réclusion prononcée contre le recourant correspond à la peine maximale prévue par le Code pénal (sous réserve des art. 112, 185 ch. 3, 264 et 266 ch. 2 CP qui prévoient la réclusion à vie). Ce châtiment est extrêmement rare et dépasse la mesure usuelle. Comparable à celui que l'on peut rencontrer en cas d'assassinat, il doit être qualifié de très sévère. Il ne pourra dès lors être prononcé qu'en cas de faute de gravité exceptionnelle. c) La jurisprudence a dégagé les éléments pertinents pour la fixation de la peine, lesquels sont exposés de manière détaillée dans l' ATF 127 IV 101 , auquel il convient de se référer. En matière de trafic de stupéfiants, il y a lieu de tenir compte, plus spécialement, des circonstances qui sont mentionnées ci-après.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 art. 19 ch. 2 let. a LStup . Il en va de même lorsque plusieurs des circonstances aggravantes prévues à l' 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 ATF 122 IV 299 consid. 2c p. 301;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 ATF 122 IV 299 consid. 2b p. 301).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 ATF 121 IV 202 consid. 2d/aa p. 204; 118 IV 342 consid. 2d p. 349).</w:t>
      </w:r>
    </w:p>
    <w:p>
      <w:r>
        <w:rPr>
          <w:b/>
        </w:rPr>
        <w:t>E. 3</w:t>
      </w:r>
    </w:p>
    <w:p>
      <w:r>
        <w:t>Il appartient au juge de motiver, de manière complète, la peine prononcée. Si, à la lecture de l'arrêt, la peine apparaît excessive, il faut en déduire soit que l'autorité cantonale n'a pas présenté l'argumentation qui explique cette sévérité, soit que la peine est exagérée dans le cas d'espèce. Il n'appartient généralement pas au Tribunal fédéral de trancher cette alternative, puisqu'il doit se borner à examiner la compatibilité de la décision attaquée avec le droit fédéral, sans avoir à rechercher lui-même dans le dossier si d'autres éléments auraient pu être invoqués ( ATF 121 IV 49 consid. 2 a/bb p. 57; 120 IV 136 consid. 3a p. 143). L'autorité cantonale n'est pas obligée de prendre position sur les moindres détails qui ont été plaidés et elle peut passer sous silence les faits qui, sans arbitraire, lui paraissent à l'évidence non établis ou sans pertinence. Elle n'est nullement tenue d'exprimer en chiffres ou en pourcentages l'importance qu'elle accorde à chacun des éléments qu'elle cite. Elle doit cependant exposer, dans sa décision, les éléments essentiels relatifs à l'acte ou à l'auteur dont elle tient compte, de manière qu'il soit possible de constater que tous les aspects pertinents ont été pris en considération et comment ils ont été appréciés ( ATF 127 IV 101 consid. 2c p. 104/105). Plus la peine est élevée, plus la motivation doit être complète ( ATF 117 IV 112 consid. 2b/cc p. 117). Cette exigence s'impose tout particulièrement lorsque le choix s'est porté sur la peine maximale.</w:t>
      </w:r>
    </w:p>
    <w:p>
      <w:r>
        <w:rPr>
          <w:b/>
        </w:rPr>
        <w:t>E. 4</w:t>
      </w:r>
    </w:p>
    <w:p>
      <w:r>
        <w:t>En l'espèce, l'autorité cantonale insiste sur la gravité du trafic du recourant. Elle fait référence au fait qu'il a joué un rôle déterminant dans un trafic d'héroïne (40, 95 kilos) avec des taux de pureté élevés. Elle relève qu'il s'agit d'un trafic intense, comportant dix voyages, faisant transiter la drogue de Turquie en Suisse. Elle met en relief l'existence de deux circonstances aggravantes, soit la quantité et le métier. En revanche, elle ne se prononce que peu sur les mobiles du recourant et sa situation personnelle. Elle se borne à préciser que le recourant n'était pas toxicomane et a dès lors agi par appât du gain. Mais elle n'expose pas les raisons qui ont conduit le recourant à basculer dans la criminalité. Arrivé en Suisse en 1985, le recourant a acquis la nationalité suisse et a vécu dans notre pays plus de dix ans sans se faire remarquer négativement des autorités; en 1998, il est tombé au chômage. L'autorité cantonale n'examine pas si l'activité criminelle du recourant doit être mise en relation avec des troubles psychiques (dépression progressive, isolement social) causés par le chômage (voir à ce sujet Gottfried Fischer/Peter Riedesser, Lehrbuch der Psychotraumatologie, 2e éd., Munich et Bâle 1999, p. 317 ss) ni s'il connaissait des difficultés financières, liées notamment à la faillite de son restaurant ( ATF 117 IV 112 con-sid. 2b/bb p. 116). Il convient en outre de relever que, dans son réquisitoire, le Procureur général a requis quatorze ans de réclusion. Or, l'autorité cantonale n'explique pas pourquoi elle n'a pas tenu compte de cette réquisition et a prononcé une peine dépassant de moitié celle demandée par l'accusation.</w:t>
      </w:r>
    </w:p>
    <w:p>
      <w:r>
        <w:rPr>
          <w:b/>
        </w:rPr>
        <w:t>E. 5</w:t>
      </w:r>
    </w:p>
    <w:p>
      <w:r>
        <w:t>En conséquence, la motivation adoptée par l'autorité cantonale ne suffit pas pour justifier la peine particulièrement lourde prononcée à l'encontre du recourant. Le pourvoi doit dès lors être admis et la cause renvoyée à l'autorité cantonale pour nouvelle décision. Comme le recourant obtient gain de cause, il ne sera pas perçu de frais ( art. 278 al. 2 PPF ) et une indemnité sera versée par la Caisse du Tribunal fédéral à son mandataire ( art. 278 al. 3 PPF ). La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