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6S.19/2002 vom 13. Mai 2002</w:t>
      </w:r>
    </w:p>
    <w:p>
      <w:r>
        <w:t>Bundesgericht, 2002-05-13, FR</w:t>
      </w:r>
    </w:p>
    <w:p>
      <w:r>
        <w:rPr>
          <w:b/>
        </w:rPr>
        <w:t xml:space="preserve">Quelle: </w:t>
      </w:r>
      <w:r>
        <w:t>https://mcp.opencaselaw.ch/entscheid/bger_6S.19_2002</w:t>
      </w:r>
    </w:p>
    <w:p>
      <w:r>
        <w:t>FR: TF 6S.19/2002 du 13 mai 2002</w:t>
      </w:r>
    </w:p>
    <w:p>
      <w:r>
        <w:t>IT: TF 6S.19/2002 del 13 maggio 2002</w:t>
      </w:r>
    </w:p>
    <w:p>
      <w:pPr>
        <w:pStyle w:val="Heading2"/>
      </w:pPr>
      <w:r>
        <w:t>Regeste</w:t>
      </w:r>
    </w:p>
    <w:p>
      <w:r>
        <w:t>Droit pénal (en général)</w:t>
      </w:r>
    </w:p>
    <w:p>
      <w:pPr>
        <w:pStyle w:val="Heading2"/>
      </w:pPr>
      <w:r>
        <w:t>Erwägungen</w:t>
      </w:r>
    </w:p>
    <w:p>
      <w:r>
        <w:rPr>
          <w:b/>
        </w:rPr>
        <w:t>E. 1</w:t>
      </w:r>
    </w:p>
    <w:p>
      <w:r>
        <w:t>Le recourant relève que les infractions à la LACI commises par l'intimé ont été considérées à juste titre comme analogues et lésant le même bien juridiquement protégé. Toutefois, contrairement à ce qu'a admis la cour cantonale, ces infractions procéderaient de la violation durable des devoirs permanents qui incombaient à l'intimé, en tant qu'employeur, en matière d'assurance chômage, en particulier dans le domaine des indemnités RHT. Elles formeraient donc une entité du point de vue de la prescription, qui aurait dès lors commencé à courir du jour du dernier acte délictueux. En conséquence, aucune de ces infractions n'était prescrite, de sorte que l'arrêt attaqué violerait le droit fédéral en tant qu'il admet que les infractions à la LACI commises par l'intimé de janvier 1994 au 3 juin 1994 sont atteintes par la prescription absolue. a) Conformément à l' art. 71 al. 2 CP , si le délinquant a exercé son activité coupable à plusieurs reprises, la prescription court du jour du dernier acte. Selon la jurisprudence, plusieurs infractions distinctes doivent être considérées comme une entité au regard de l' art. 71 al. 2 CP , c'est-à-dire comme une activité globale pour laquelle le délai de prescription commence à courir du jour où le dernier acte a été commis, si elles sont identiques ou analogues, si elles ont été commises au préjudice du même bien juridiquement protégé et si elles procèdent d'un comportement durablement contraire à un devoir permanent de l'auteur, sans que l'on soit toutefois en présence d'un délit continu au sens de l' art. 71 al. 3 CP . La question de savoir si cette condition est réalisée ne peut être définie exhaustivement en une formule abstraite; elle doit être tranchée en fonction du cas concret, en tenant compte du sens et du but de la prescription ainsi que des circonstances de l'état de fait du cas d'espèce; dans tous les cas, il faut que l'infraction en cause implique, expressément ou par son but, la violation durable d'un devoir permanent ( ATF 127 IV 49 consid. 1b p. 54 et les arrêts cités). L'existence d'une unité du point de vue de la prescription ne doit être admise que restrictivement, pour éviter de réintroduire sous une autre forme la notion de délit successif, qui a été abandonnée dans l' ATF 117 IV 408 ( ATF 127 IV 49 consid. 1b p. 54; 124 IV 59 consid. 3b/aa p. 61). Le Tribunal fédéral a été amené à se prononcer sur la question au sujet de diverses infractions; cette jurisprudence a été résumée dans l' ATF 127 IV 49 consid. 1b p. 55, auquel on peut donc se référer. b) Il n'est pas douteux que, comme l'a admis la cour cantonale, les diverses infractions à l' art. 105 al. 1 LACI retenues à l'encontre de l'intimé constituent des infractions analogues et lèsent le même bien juridiquement protégé. Seule demeure donc à élucider la question de savoir si, comme le soutient le recourant, l'infraction à l' art. 105 al. 1 LACI implique la violation durable d'un devoir permanent de l'auteur, ce que la cour cantonale a nié, sans réellement motiver sa décision sur ce point. c) L' art. 105 al. 1 LACI réprime le comportement de celui qui, par des indications fausses ou incomplètes ou de toute autre manière, aura obtenu, pour lui-même ou pour autrui, des prestations de l'assurance auxquelles il n'avait pas droit. Cette infraction présente une certaine analogie avec une escroquerie commise au préjudice de l'assurance sociale, dont elle ne se distingue guère que par l'élément d'astuce. Dans un arrêt non publié du 16 août 2001 (6S. 655/2000), le Tribunal fédéral a en effet admis que, lorsque la tromperie qu'implique l' art. 105 al. 1 LACI doit être qualifiée d'astucieuse, la disposition du code pénal réprimant l'escroquerie est applicable (arrêt 6S.655/2000, consid. 3e). Or, selon la jurisprudence, une pluralité d'escroqueries, même si l'auteur a agi par métier, ne constituent pas une unité sous l'angle de la prescription, car la condition d'un comportement durablement contraire à un devoir permanent de l'auteur fait défaut en cas d'escroquerie, dont les éléments constitutifs objectifs n'impliquent pas l'existence d'un tel comportement ( ATF 124 IV 59 consid. 3b p. 60 s.). Logiquement, ce raisonnement vaut mutatis mutandis pour l'infraction réprimée par l' art. 105 al. 1 LACI . Contrairement à ce qui est le cas pour la gestion déloyale ou l'abus de confiance et comme pour l'escroquerie, l'auteur de l'infraction réprimée par l' art. 105 al. 1 LACI n'est pas constamment tenu de veiller aux intérêts pécuniaires d'autrui, respectivement de réparer le dommage causé par l'acte réprimé; tromper l'assurance pour en obtenir indûment des prestations constitue un fait ponctuel, non pas une situation qui se prolonge dans le temps (cf. ATF 124 IV 59 consid 3a/aa p. 61/62). Les différents actes constitutifs de l'infraction réprimée par l' art. 105 al. 1 LACI ne forment donc pas une unité sous l'angle de la prescription, qui commence dès lors à courir, pour chacun d'eux, du jour où il a été commis. Au vu de ce qui précède, l'arrêt attaqué ne viole pas le droit fédéral autant qu'il nie que les infractions à l' art. 105 al. 1 LACI commises par l'intimé forment une unité du point de vue de la prescription et admet en conséquence que celles de ces infractions qui ont été commises entre le 1er janvier et le 3 juin 1994 sont absolument prescrites.</w:t>
      </w:r>
    </w:p>
    <w:p>
      <w:r>
        <w:rPr>
          <w:b/>
        </w:rPr>
        <w:t>E. 2</w:t>
      </w:r>
    </w:p>
    <w:p>
      <w:r>
        <w:t>Le recourant soutient que, nonobstant la suppression par la cour cantonale, à raison de la prescription absolue, des infractions à la LACI commises par l'intimé durant la période allant de janvier 1994 au 3 juin 1994, une réduction de trois mois de la peine privative de liberté, déjà très modérée, infligée en première instance ne se justifiait pas. a) Pour fixer la peine, le juge dispose d'un large pouvoir d'appréciation. Un pourvoi en nullité portant sur la quotité de la peine ne peut donc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123 IV 49 consid. 2a p. 51 et les arrêts cités). b) En première instance, l'intimé avait été condamné, pour des escroqueries commises sur une période d'un peu moins de 2 ans et des infractions à la LACI commises sur une période d'environ 1 an, ayant causé un dommage total de plus de 3 millions de francs, à une peine privative de liberté (avec sursis) de 15 mois d'emprisonnement. En seconde instance, il a été acquitté, à raison de la prescription intervenue dans l'intervalle, d'infractions à la LACI commises sur une période d'environ 5 mois ayant causé un dommage total que l'arrêt attaqué ne permet pas de déterminer avec précision mais pouvant être évalué, selon les faits retenus, à plus de 300. 000 francs au minimum; en conséquence, la durée de la peine privative de liberté a été réduite de 3 mois. Ainsi, en raison de la prescription d'infractions ayant porté sur une période représentant environ un septième de la durée totale de l'activité délictueuse et ayant entraîné un dommage correspondant approximativement à un dixième du préjudice total causé, la cour cantonale a opéré une réduction équivalant à un cinquième environ de la peine infligée en première instance. Une telle réduction n'est manifestement pas choquante et disproportionnée au point que la cour cantonale puisse se voir reprocher un abus de son pouvoir d'appréciation dans la fixation de la peine. Au reste il n'est pas établi ni d'ailleurs allégué que la cour cantonale aurait omis de tenir compte d'éléments à charge qui n'aient déjà été pris en considération par les premiers juges. Le grief est par conséquent infondé.</w:t>
      </w:r>
    </w:p>
    <w:p>
      <w:r>
        <w:rPr>
          <w:b/>
        </w:rPr>
        <w:t>E. 3</w:t>
      </w:r>
    </w:p>
    <w:p>
      <w:r>
        <w:t>Le pourvoi doit ainsi être rejeté. Conformément à l' art. 278 al. 2 PPF , il ne sera pas perçu de frais. Il n'y a pas lieu d'allouer une indemnité à l'intimé, qui n'a pas été amené à se déterminer sur le pourvoi ( art. 278 al. 3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