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6S.167/2003 vom 10. Juli 2003</w:t>
      </w:r>
    </w:p>
    <w:p>
      <w:r>
        <w:t>Bundesgericht, 2003-07-10, FR</w:t>
      </w:r>
    </w:p>
    <w:p>
      <w:r>
        <w:rPr>
          <w:b/>
        </w:rPr>
        <w:t xml:space="preserve">Quelle: </w:t>
      </w:r>
      <w:r>
        <w:t>https://mcp.opencaselaw.ch/entscheid/bger_6S.167_2003</w:t>
      </w:r>
    </w:p>
    <w:p>
      <w:r>
        <w:t>FR: TF 6S.167/2003 du 10 juillet 2003</w:t>
      </w:r>
    </w:p>
    <w:p>
      <w:r>
        <w:t>IT: TF 6S.167/2003 del 10 luglio 2003</w:t>
      </w:r>
    </w:p>
    <w:p>
      <w:pPr>
        <w:pStyle w:val="Heading2"/>
      </w:pPr>
      <w:r>
        <w:t>Erwägungen</w:t>
      </w:r>
    </w:p>
    <w:p>
      <w:r>
        <w:rPr>
          <w:b/>
        </w:rPr>
        <w:t>E. 1.1</w:t>
      </w:r>
    </w:p>
    <w:p>
      <w:r>
        <w:t>Le jugement attaqué a été rendu par un tribunal d'arrondissement vaudois, qui a statué sur appel contre un prononcé préfectoral en matière de contravention de droit fédéral. Il s'agit donc d'un jugement rendu par un tribunal inférieur n'ayant pas statué en instance cantonale unique et qui ne peut faire l'objet d'un recours cantonal ( ATF 127 IV 220 consid. 1b p. 223 s.). Le pourvoi à son encontre est dès lors recevable sous l'angle de l' art. 268 ch. 1 PPF .</w:t>
      </w:r>
    </w:p>
    <w:p>
      <w:r>
        <w:rPr>
          <w:b/>
        </w:rPr>
        <w:t>E. 1.2</w:t>
      </w:r>
    </w:p>
    <w:p>
      <w:r>
        <w:t>Saisi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92 consid. 1 p. 93 et les arrêts cités).</w:t>
      </w:r>
    </w:p>
    <w:p>
      <w:r>
        <w:rPr>
          <w:b/>
        </w:rPr>
        <w:t>E. 2</w:t>
      </w:r>
    </w:p>
    <w:p>
      <w:r>
        <w:t>Le recourant se plaint d'une violation des art. 27 al. 1 et 34 al. 2 LCR ainsi que de l' art. 73 al. 6 let. a OSR . Il fait valoir que le jugement attaqué, qui confirme la décision de première instance le condamnant pour violation des dispositions qu'il invoque, ne contient pas un état de fait qui permettrait de retenir qu'il a empiété sur la ligne continue.</w:t>
      </w:r>
    </w:p>
    <w:p>
      <w:r>
        <w:t>Le jugement attaqué fait grief au recourant d'avoir dépassé le véhicule Y.________sans prendre les précautions qui s'imposaient au vu des circonstances, en violation de l' art. 35 al. 3 LCR , qui prescrit que "celui qui dépasse doit avoir particulièrement égard aux autres usagers de la route, notamment à ceux qu'il veut dépasser". Il lui reproche également d'avoir contrevenu à l' art. 27 al. 1 LCR , qui dispose que "chacun se conformera aux signaux et aux marques ainsi qu'aux ordres de la police".</w:t>
      </w:r>
    </w:p>
    <w:p>
      <w:r>
        <w:t>Tel qu'il est rédigé, le jugement attaqué peut certes, de prime abord, donner à penser qu'une violation de l' art. 27 al. 1 LCR a été retenue à raison du même comportement qui a conduit à retenir une violation de l' art. 35 al. 3 LCR . En réalité toutefois, c'est manifestement l'ensemble du comportement du recourant, tel qu'il a été décrit non seulement au début du chiffre 3 mais aussi au chiffre 2 du jugement attaqué, qui a conduit à considérer qu'"on doit donc reprocher à X.________ une contravention aux art. 27 al. 1 et 35 al. 3 LCR". Il est vrai que le jugement attaqué ne constate pas formellement que le recourant a empiété sur la ligne de sécurité. Cela résulte cependant de l'état de fait retenu par l'autorité cantonale, qui ne dit au demeurant nulle part vouloir s'écarter sur ce point de la décision préfectorale. Le recourant admet d'ailleurs lui-même que le jugement attaqué confirme la décision de première instance en ce qui concerne sa condamnation à raison d'un empiétement sur la ligne de sécurité.</w:t>
      </w:r>
    </w:p>
    <w:p>
      <w:r>
        <w:t>De l'état de fait retenu, il résulte que le recourant a entrepris de dépasser le véhicule Y.________, alors que ce dernier était arrêté devant lui en vue de tourner à gauche selon son sens de marche, dans un virage serré impliquant d'obliquer à angle droit, pour enfiler le chemin de la Gare. Il est établi qu'il existe au milieu de la chaussée empruntée par les deux automobilistes une ligne de sécurité continue, qui s'interrompt uniquement au droit du chemin de la Gare, dans lequel entendait s'engager la conductrice Y.________. Dans ces conditions, il n'est pas douteux que, pour dépasser cette dernière, arrêtée devant lui en vue d'obliquer à gauche pour s'engager dans le chemin de la Gare, le recourant a empiété sur la ligne de sécurité. Le jugement attaqué relève d'ailleurs que, tout en l'expliquant par le fait que la conductrice Y.________n'aurait pas enclenché son indicateur de direction à temps, le recourant a lui-même admis avoir dépassé sans klaxonner "en empiétant probablement quelque peu sur la ligne continue".</w:t>
      </w:r>
    </w:p>
    <w:p>
      <w:r>
        <w:t>Au vu de l'état de fait ainsi retenu, qui est à cet égard suffisant, une violation de l' art. 27 al. 1 LCR à raison d'un empiètement sur la chaussée pouvait être admise sans violation du droit fédéral. En réalité, le recourant, en rediscutant l'appréciation des pièces du dossier, tente de faire admettre que la situation de fait serait autre que celle retenue, ce qu'il n'est toutefois pas recevable à faire dans un pourvoi en nullité (cf. supra, consid. 1.2).</w:t>
      </w:r>
    </w:p>
    <w:p>
      <w:r>
        <w:rPr>
          <w:b/>
        </w:rPr>
        <w:t>E. 3</w:t>
      </w:r>
    </w:p>
    <w:p>
      <w:r>
        <w:t>Le recourant invoque une fausse application de l' art. 35 al. 3 LCR . Faisant valoir que les versions des faits des parties étaient contradictoires et qu'aucun élément objectif ne permettait de les départager, il reproche à l'autorité cantonale d'avoir retenu celle de la conductrice Y.________, au demeurant pour le condamner à raison d'une infraction qui n'avait pas été retenue dans la décision préfectorale. Il en déduit qu'on ne sait dès lors pas de quelle manière l' art. 35 al. 3 LCR a été appliqué, ce qui justifierait de procéder conformément à l' art. 277 PPF .</w:t>
      </w:r>
    </w:p>
    <w:p>
      <w:r>
        <w:t>Cette critique revient à contester l'appréciation des preuves dont a été déduit l'état de fait sur lequel repose la condamnation du recourant et à remettre en cause l'application du droit cantonal de procédure relatif au pouvoir d'examen de l'autorité cantonale. De tels griefs sont irrecevables dans un pourvoi en nullité, qui ne peut être formé que pour violation du droit fédéral ( art. 269 PPF ) et n'est notamment pas ouvert pour se plaindre de l'appréciation des preuves et des constatations de fait qui en découlent ( ATF 124 IV 81 consid. 2a p. 83; 123 IV 184 consid. 1a p. 186; 118 IV 309 consid. 2b p. 317) ou pour invoquer la violation directe du droit cantonal ( ATF 123 IV 202 consid. 1 p. 204 s.; 122 IV 71 consid. 2 p. 76; 121 IV 104 consid. 2b p. 106). La conclusion que tire le recourant des griefs ainsi formulés, à savoir que l'état de fait du jugement attaqué devrait être considéré comme insuffisant pour contrôler la correcte application de l' art. 35 al. 3 LCR , est ainsi privée de fondement.</w:t>
      </w:r>
    </w:p>
    <w:p>
      <w:r>
        <w:t>Pour le surplus, le recourant ne prétend pas, et on ne le voit du reste pas, que, sur la base de l'état de fait retenu par le jugement attaqué, qui lie la Cour de céans (cf. supra, consid. 1.2), une violation de l' art. 35 al. 3 LCR aurait été retenue à tort.</w:t>
      </w:r>
    </w:p>
    <w:p>
      <w:r>
        <w:rPr>
          <w:b/>
        </w:rPr>
        <w:t>E. 4</w:t>
      </w:r>
    </w:p>
    <w:p>
      <w:r>
        <w:t>Le pourvoi doit ainsi être rejeté dans la mesure où il est recevable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