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6S.162/2001 vom 21. August 2001</w:t>
      </w:r>
    </w:p>
    <w:p>
      <w:r>
        <w:t>Bundesgericht, 2001-08-21, FR</w:t>
      </w:r>
    </w:p>
    <w:p>
      <w:r>
        <w:rPr>
          <w:b/>
        </w:rPr>
        <w:t xml:space="preserve">Quelle: </w:t>
      </w:r>
      <w:r>
        <w:t>https://mcp.opencaselaw.ch/entscheid/bger_6S.162_2001</w:t>
      </w:r>
    </w:p>
    <w:p>
      <w:r>
        <w:t>FR: TF 6S.162/2001 du 21 août 2001</w:t>
      </w:r>
    </w:p>
    <w:p>
      <w:r>
        <w:t>IT: TF 6S.162/2001 del 21 agosto 2001</w:t>
      </w:r>
    </w:p>
    <w:p>
      <w:pPr>
        <w:pStyle w:val="Heading2"/>
      </w:pPr>
      <w:r>
        <w:t>Regeste</w:t>
      </w:r>
    </w:p>
    <w:p>
      <w:r>
        <w:t>Droit pénal (en général)</w:t>
      </w:r>
    </w:p>
    <w:p>
      <w:pPr>
        <w:pStyle w:val="Heading2"/>
      </w:pPr>
      <w:r>
        <w:t>Erwägungen</w:t>
      </w:r>
    </w:p>
    <w:p>
      <w:r>
        <w:rPr>
          <w:b/>
        </w:rPr>
        <w:t>E. 1</w:t>
      </w:r>
    </w:p>
    <w:p>
      <w:r>
        <w:t>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et les arrêts cités).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circonscrit les points litigieux.</w:t>
      </w:r>
    </w:p>
    <w:p>
      <w:r>
        <w:rPr>
          <w:b/>
        </w:rPr>
        <w:t>E. 2</w:t>
      </w:r>
    </w:p>
    <w:p>
      <w:r>
        <w:t>Le recourant se plaint d'une violation de l' art. 63 CP . a) 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Ces principes s'appliquent aussi en matière d'infractions à la LStup. La quotité de la peine doit donc être fixée en fonction de la gravité de la faute imputable à l'auteur et non du danger que représente la drogue sur laquelle a porté le trafic. Ce danger est certes l'un des éléments pertinents pour apprécier la gravité de la faute, mais qui est à estimer conjointement avec les autres, sans revêtir une importance prépondérante. La quantité de drogue en jeu et, le cas échéant, la pureté de celle-ci est d'autant moins déterminante que l'on s'éloigne de la limite à partir de laquelle le cas doit être considéré comme grave au sens de l' art. 19 ch. 2 let. a LStup . De même, cet élément perd de l'importance lorsque plusieurs des circonstances aggravantes prévues à l' art. 19 ch. 2 LStup sont réalisées. Lorsque l'auteur n'a pas voulu fournir une drogue particulièrement pure ou particulièrement diluée, la question du taux de pureté exact et, partant, la quantité exacte de drogue pure concernée ne joue pas de rôle pour apprécier la gravité de la faute ( ATF 122 IV 299 consid. 2c p. 301; 121 IV 193 consid. 2b/aa p. 196). 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124 IV 44 consid. 2d p. 47; 123 IV 150 consid. 2a p. 152/153 et les arrêts cités). b) Pour fixer la peine, le Tribunal correctionnel, auquel s'est référée la Cour de cassation cantonale, a en particulier relevé que le recourant avait mené une vie honorable durant trente-huit ans, que sa "dérive" de six mois était due notamment à ses problèmes conjugaux, à la perte de son travail et à ses conditions de vie précaires, qu'il avait été quelque peu pris au dépourvu par la quantité de drogue transportée par ses compagnons, qu'il regrettait les faits et que son repentir était sincère. Le tribunal a opposé à ces éléments favorables que le recourant n'était pas aussi naïf qu'il voulait le faire croire, qu'il avait eu tout loisir de se retirer du trafic à plusieurs reprises mais que l'appât du gain avait été trop fort, qu'il n'avait pas mis à profit les dix-huit mois depuis sa libération préventive pour se réadapter aux conditions du marché du travail et retrouver un emploi stable, qu'il dépendait toujours de l'aide sociale et qu'il n'avait pas su prendre ses responsabilités sur le plan professionnel. Le tribunal a également tenu compte du concours d'infractions (cf. jugement de première instance, p. 20/21). c) aa) Tout en excluant se prévaloir d'une violation de ses droits fondamentaux ou de la circonstance atténuante prévue à l'art. 64 avant-dernier alinéa CP, le recourant évoque la durée de la procédure et son comportement durant cette période, soulignant qu'il a vécu sans commettre d'infraction et qu'il a retrouvé un emploi depuis décembre 2000. Sur ce dernier point, le recourant introduit un fait nouveau, ce qui n'est pas admissible dans un pourvoi ( art. 273 al. 1 let. b PPF ). Qu'il n'ait par ailleurs pas commis une nouvelle infraction n'a rien de méritoire dès lors qu'un comportement conforme au droit correspond à ce que l'on doit pouvoir attendre de tout un chacun. bb) En termes généraux, le recourant affirme que la Cour de cassation cantonale ne se serait pas livrée à une appréciation globale du cas. Dans la mesure où il critique ainsi le pouvoir d'examen de la Cour de cassation cantonale par rapport à l'autorité de première instance, il s'en prend à la procédure vaudoise, ce qu'il n'est pas habilité à faire dans un pourvoi ( art. 269 PPF ). Pour le reste, sa motivation ne respecte pas les exigences minimales de l' art. 273 al. 1 let. b PPF en la matière. cc) Le recourant prétend que l'autorité n'a pas tenu compte des cent dix jours de détention préventive subis, que les buts auxquels tend l'exécution de la peine sont pour lui déjà largement atteints et qu'ainsi la peine prononcée, qui implique qu'il doive retourner en détention, ne se justifie pas. La détention préventive et l'exécution d'une peine privative de liberté visent des buts distincts ( ATF 124 I 170 consid. 2e p. 173). La mise en liberté provisoire lorsque la détention préventive ne se justifie plus, en l'espèce après cent dix jours, ne saurait en principe avoir pour conséquence que l'autorité de jugement fixe une peine ne correspondant plus à la culpabilité de l'auteur. Que la peine infligée implique le cas échéant un retour en détention pour l'exécution du solde de la peine après imputation de la détention préventive ( art. 69 CP ) relève de la logique du système. dd) L'autorité cantonale n'aurait pas tenu compte de certains aspects relatifs à la situation personnelle du recourant. Aucun des éléments évoqués n'a cependant été omis. Savoir quel poids il fallait leur accorder est une question qui dépend du large pouvoir d'appréciation du juge de répression. ee) Le recourant conteste encore la pertinence des considérations d'ordre professionnel émises à son sujet. Le Tribunal correctionnel a effectivement observé au stade de la fixation de la peine que le recourant n'avait pas mis à profit les dix-huit mois depuis sa libération préventive pour se réadapter aux conditions du marché du travail et retrouver un emploi stable, qu'il dépendait toujours de l'aide sociale et qu'il n'avait pas su prendre ses responsabilités sur le plan professionnel (cf. jugement de première instance, p. 21). La Cour de cassation cantonale n'a pas mis en cause cette appréciation puisqu'elle a relevé que le Tribunal correctionnel avait tenu compte de l'ensemble des éléments pertinents (cf. arrêt attaqué, p. 19). A propos de la situation de l'auteur au moment du jugement, le juge doit tenir compte, en fixant la peine selon les principes de l' art. 63 CP , de la prise de conscience par celui-ci de sa faute et de sa volonté de s'amender. Le fait que le délinquant ait repris pied dans le monde du travail peut être un élément en ce sens (cf. ATF 118 IV 342 consid. 2e in fine p. 349). En revanche, l'évolution de la situation professionnelle du délinquant depuis l'infraction ne saurait constituer un critère autonome et pertinent pour apprécier sa faute dans le cadre de l' art. 63 CP . En l'espèce, selon la motivation adoptée par le Tribunal correctionnel et confirmée par la Cour de cassation cantonale, il est reproché au recourant de n'avoir pas retrouvé un emploi stable, de dépendre de l'assistance sociale et de n'avoir pas su prendre ses responsabilités professionnelles. Le Tribunal correctionnel n'a pas vu en cela un indice de l'absence d'amendement du recourant puisqu'il a par ailleurs admis que celui-ci regrettait les faits et que son repentir était sincère (cf. jugement de première instance, p. 20 in fine). La situation professionnelle du recourant a donc été appréciée pour elle-même dans un sens aggravant. De la sorte, l'autorité cantonale s'est fondée sur un critère étranger à l' art. 63 CP pour fixer la peine et a en conséquence violé le droit fédéral.</w:t>
      </w:r>
    </w:p>
    <w:p>
      <w:r>
        <w:rPr>
          <w:b/>
        </w:rPr>
        <w:t>E. 3</w:t>
      </w:r>
    </w:p>
    <w:p>
      <w:r>
        <w:t>Le pourvoi sera donc partiellement admis, l'arrêt attaqué annulé et la cause renvoyée à l'autorité cantonale pour nouvelle fixation de la peine. Le pourvoi n'étant que partiellement admis, le recourant sera condamné à un émolument réduit de 500 francs ( art. 278 al. 1 PPF ). Celui-ci sera compensé par l'indemnité de 1'000 francs allouée à titre de dépens ( art. 278 al. 3 PPF ). Par conséquent, l'indemnité versée au recourant se montera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