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6S.151/2003 vom 30. Juni 2003</w:t>
      </w:r>
    </w:p>
    <w:p>
      <w:r>
        <w:t>Bundesgericht, 2003-06-30, FR</w:t>
      </w:r>
    </w:p>
    <w:p>
      <w:r>
        <w:rPr>
          <w:b/>
        </w:rPr>
        <w:t xml:space="preserve">Quelle: </w:t>
      </w:r>
      <w:r>
        <w:t>https://mcp.opencaselaw.ch/entscheid/bger_6S.151_2003</w:t>
      </w:r>
    </w:p>
    <w:p>
      <w:r>
        <w:t>FR: TF 6S.151/2003 du 30 juin 2003</w:t>
      </w:r>
    </w:p>
    <w:p>
      <w:r>
        <w:t>IT: TF 6S.151/2003 del 30 giugno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conteste l'abus de confiance mis à sa charge. Il ne remet pas en cause les autres infractions.</w:t>
      </w:r>
    </w:p>
    <w:p>
      <w:r>
        <w:rPr>
          <w:b/>
        </w:rPr>
        <w:t>E. 2.1</w:t>
      </w:r>
    </w:p>
    <w:p>
      <w:r>
        <w:t>La Cour de cassation vaudoise a en substance exposé ce qui suit pour admettre la qualification d'abus de confiance: Y.________ a prêté au recourant un premier montant de 500'000 francs pour qu'il puisse le jouer. Le recourant l'a perdu. Y.________ lui a accordé un second prêt d'un même montant pour jouer la revanche. Selon le système du jeu, le gagnant remportait la mise de son adversaire et conservait la sienne. Ainsi, si le recourant gagnait, il conservait sa propre mise de 500'000 francs et remportait celle de son adversaire du même montant, disposant au total d'un million de francs qui devait être employé au remboursement de ses deux emprunts. Y.________ était aussi convaincu de la perte accidentelle de la première partie, ce qu'atteste sa remise, en plus du second prêt, de 500'000 francs à titre fiduciaire, que le recourant devait jouer au nom de celui-ci. Le second prêt de 500'000 francs a été octroyé pour le jeu et le recourant devait affecter ce montant à cette fin uniquement. Si le recourant ne pouvait pas garantir un résultat de gain en raison du risque de perte au jeu, il devait en tout cas assurer ses chances d'emporter la partie, ce qui impliquait le devoir de conserver intacte la mise. Autrement dit, le recourant ne devait pas garantir le remboursement des prêts mais ses chances de pouvoir les rembourser par le jeu. Or, en prélevant 200'000 francs sur le montant prêté et en l'affectant à ses dépenses personnelles, il a utilisé sans droit et dans un dessein d'enrichissement illégitime une valeur patrimoniale qui lui avait été confiée pour être misée dans le jeu.</w:t>
      </w:r>
    </w:p>
    <w:p>
      <w:r>
        <w:rPr>
          <w:b/>
        </w:rPr>
        <w:t>E. 2.2</w:t>
      </w:r>
    </w:p>
    <w:p>
      <w:r>
        <w:t>La question à résoudre est de déterminer si le recourant a employé sans droit une valeur patrimoniale confiée au sens de l' art. 138 ch. 1 al. 2 CP .</w:t>
      </w:r>
    </w:p>
    <w:p>
      <w:r>
        <w:rPr>
          <w:b/>
        </w:rPr>
        <w:t>E. 2.2.1</w:t>
      </w:r>
    </w:p>
    <w:p>
      <w:r>
        <w:t>Sur le plan objectif,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 ATF 121 IV 23 consid. 1c p. 25; 119 IV 127 consid. 2 p. 128).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121 IV 23 consid. 1c p. 25).</w:t>
      </w:r>
    </w:p>
    <w:p>
      <w:r>
        <w:rPr>
          <w:b/>
        </w:rPr>
        <w:t>E. 2.2.2</w:t>
      </w:r>
    </w:p>
    <w:p>
      <w:r>
        <w:t>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 ATF 124 IV 9 consid. 1 p. 10 ss; 120 IV 117 consid. 2 p. 118 ss). A l' ATF 120 IV 117 précité, le Tribunal fédéral a admis le devoir de l'emprunteur de conserver constamment la contre-valeur de ce qu'il avait reçu ("Werterhaltungspflicht"): le prêt avait été accordé pour l'acquisition d'un immeuble déterminé, le remboursement devant intervenir lors de sa revente, prévue avec bénéfice. Il s'agissait là d'une clause importante du contrat et le prêteur pouvait partir de l'idée que si l'emprunteur utilisait les fonds conformément à ce qui avait été convenu, il serait en mesure de le rembourser. Le prêt n'aurait sinon pas été accordé compte tenu de la mauvaise situation financière de l'emprunteur. Comme celui-ci était tenu contractuellement de consacrer l'argent prêté à l'achat de l'immeuble, il avait aussi l'obligation de conserver cet argent jusqu'à l'achat. A l' ATF 124 IV 9 , le même devoir de l'emprunteur a été admis à propos d'un crédit de construction. D'après le contrat, l'argent devait être employé au paiement du travail et du matériel. Avec le crédit, la banque prêteuse mettait à disposition de l'emprunteur d'importants montants, qui n'étaient pas couverts par la seule valeur du bien-fonds. L'utilisation progressive du crédit pour le paiement des travaux de construction augmentait consécutivement la valeur dudit bien et constituait une garantie pour la banque. En affectant l'argent à un autre but, l'emprunteur a entravé cette garantie. Ces deux arrêts mettent en évidence la destination convenue des fonds et l'intérêt pour le prêteur que représente le respect de cette destination, en tant que limite du risque de perte. On peut en déduire que l'utilisation de l'argent prêté contrairement à sa destination convenue peut être constitutive d'un abus de confiance lorsqu'elle est de nature à créer un dommage au prêteur (cf. Marcel Alexander Niggli/Christof Riedo, in Basler Kommentar, Strafgesetzbuch II, art. 138 CP n. 68).</w:t>
      </w:r>
    </w:p>
    <w:p>
      <w:r>
        <w:rPr>
          <w:b/>
        </w:rPr>
        <w:t>E. 2.3</w:t>
      </w:r>
    </w:p>
    <w:p>
      <w:r>
        <w:t>Comme il ressort de l'arrêt attaqué, le prêt de 500'000 francs a été accordé dans un but clairement déterminé. L'argent devait servir de mise dans un jeu. En cas de victoire, un montant d'un million de francs devenait disponible, lequel devait être consacré au remboursement du prêt, ainsi qu'à celui d'un précédent prêt d'un même montant, déjà accordé pour jouer. En utilisant 200'000 francs du prêt à son propre profit, le recourant n'était plus en mesure de miser suffisamment pour rembourser le prêteur conformément à ce qui était prévu en cas de victoire. Que le recourant se soit par ailleurs fait remettre un autre montant de 500'000 francs à titre fiduciaire pour le jeu n'y change rien, car il n'était pas convenu qu'un gain sur ce montant pût servir au remboursement des prêts. Que le jeu lui-même ait en réalité été organisé dans le but de soutirer de l'argent au recourant en le trompant reste sans incidence sur ses relations avec le prêteur. D'après l' art. 513 CO , le jeu ne donne aucun droit de créance (al. 1); il en va de même des avances ou prêts faits sciemment en vue d'un jeu ou d'un pari (al. 2). En matière de prêt pour un jeu, il n'existe ainsi qu'une obligation naturelle, qui peut être valablement éteinte par le paiement volontaire du débiteur mais pour laquelle le créancier ne peut l'y contraindre par les moyens légaux d'ordinaire à sa disposition, soit une action en justice et l'exécution forcée ( ATF 93 IV 14 ). Il résulte de l' art. 513 CO que si le recourant avait affecté comme convenu l'entier du prêt au jeu et s'il avait gagné, le prêteur n'aurait pas pu l'actionner en justice en cas de refus de paiement. Cette hypothèse amenuise singulièrement l'intérêt que pouvait avoir le prêteur à ce que l'argent soit employé de manière conforme à la destination convenue. Or, la qualification d'abus de confiance à propos d'un prêt implique que la destination convenue des fonds puisse assurer la couverture du risque du prêteur ou, du moins, diminue son risque de perte. Lorsque, comme en l'espèce, le prêteur n'a civilement aucun droit d'action en cas d'utilisation conforme de l'argent, il ne saurait invoquer qu'une telle utilisation est de nature à limiter son risque de perte. En outre, le jeu impliquait que le recourant misât l'argent prêté, sans que son patrimoine ne bénéficiât alors d'une contre-valeur correspondante. Cette situation ne s'apparente pas aux cas traités aux ATF 124 IV 9 et 120 IV 117, où l'affectation déterminée du prêt dans l'immobilier devait assurer le maintien d'une contre-valeur. Il s'ensuit que la qualification d'abus de confiance ne saurait être retenue. Le pourvoi doit être admis. Encore peut-on noter que lorsque l'argent prêté pour jouer est utilisé par l'emprunteur à une autre fin (comme en l'espèce pour 200'000 francs), la question de savoir si le prêteur dispose civilement contre lui d'un droit d'action est controversée en doctrine (cf. Kurt Amonn, Spiel und spielartige Verträge, in Schweizerisches Privatrecht, vol. VII/2, n. 9 et les références citées, p. 477; Silvio Giovanoli, Spiel und Wette, in Berner Kommentar, art. 513 CO n. 11; Pierre Tercier, Les contrats spéciaux, 2e éd., n. 5373). L'existence éventuelle d'une action dans cette hypothèse reste sans incidence sur la qualification d'abus de confiance. En effet, l'élément déterminant pour retenir cette infraction réside dans la limitation du risque que procure au prêteur l'utilisation conforme du prêt. Comme on l'a vu, une telle limitation n'entre pas en considération s'agissant d'un prêt concédé pour jouer.</w:t>
      </w:r>
    </w:p>
    <w:p>
      <w:r>
        <w:rPr>
          <w:b/>
        </w:rPr>
        <w:t>E. 3</w:t>
      </w:r>
    </w:p>
    <w:p>
      <w:r>
        <w:t>Il n'y a pas lieu de mettre des frais judiciaires à la charge du recourant et une indemnité sera allouée à son mandataire pour la procédure devant le Tribunal fédéral ( art. 278 al. 3 PPF ).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