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6S.145/2006 vom 2. Juni 2006</w:t>
      </w:r>
    </w:p>
    <w:p>
      <w:r>
        <w:t>Bundesgericht, 2006-06-02, FR</w:t>
      </w:r>
    </w:p>
    <w:p>
      <w:r>
        <w:rPr>
          <w:b/>
        </w:rPr>
        <w:t xml:space="preserve">Quelle: </w:t>
      </w:r>
      <w:r>
        <w:t>https://mcp.opencaselaw.ch/entscheid/bger_6S.145_2006</w:t>
      </w:r>
    </w:p>
    <w:p>
      <w:r>
        <w:t>FR: TF 6S.145/2006 du 2 juin 2006</w:t>
      </w:r>
    </w:p>
    <w:p>
      <w:r>
        <w:t>IT: TF 6S.145/2006 del 2 giugno 2006</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rPr>
          <w:b/>
        </w:rPr>
        <w:t>E. 2</w:t>
      </w:r>
    </w:p>
    <w:p>
      <w:r>
        <w:t>Le recourant soutient n'avoir pas agi avec la froideur et la détermination de l'assassin, mais avoir agi dans un état second, en ne sachant plus ce qu'il faisait. Il en veut pour preuve qu'au moment ou "il a couru sus à son ennemi tel un chevalier du moyen-âge lors d'une joute" il ne s'est soucié ni d'une éventuelle possibilité de s'échapper ni de la présence de tiers.</w:t>
      </w:r>
    </w:p>
    <w:p>
      <w:r>
        <w:rPr>
          <w:b/>
        </w:rPr>
        <w:t>E. 2.1</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w:t>
      </w:r>
    </w:p>
    <w:p>
      <w:r>
        <w:t>Les mobiles de l'auteur sont particulièrement odieux lorsqu'il tue pour obtenir une rémunération ou pour voler sa victime. Son but est particulièrement odieux lorsqu'il agit pour éliminer un témoin gênant ou une personne qui l'entrave dans la commission d'une infraction. Enfin, sa façon d'agir est particulièrement odieuse s'il fait preuve de cruauté, prenant plaisir à faire souffrir ou à tuer sa victime. Il ne s'agit toutefois là que d'exemples destinés à illustrer la notion, de sorte qu'il n'est pas nécessaire que l'une de ces hypothèses soit réalisée (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 art. 111 CP ( ATF 127 IV 10 consid. 1a p. 13; 120 IV 265 consid. 3a p. 274; 118 IV 122 consid. 2b p.125 s.; 117 IV 369 consid. 17 p. 389 ss et les références citées).</w:t>
      </w:r>
    </w:p>
    <w:p>
      <w:r>
        <w:rPr>
          <w:b/>
        </w:rPr>
        <w:t>E. 2.2</w:t>
      </w:r>
    </w:p>
    <w:p>
      <w:r>
        <w:t>En l'espèce, il ressort des constatations de fait de l'autorité cantonale, qui lient le Tribunal fédéral saisi d'un pourvoi en nullité, que le recourant avait l'intention de supprimer sa victime, qui avait pour seul tort d'être intervenue, poliment et en proposant son aide, dans la dispute qui opposait le recourant et son amie, alors que le couple se trouvait devant son commerce et gênait l'accès à l'automate situé à l'extérieur de celui-ci. Après avoir saisi une première fois sa victime, le recourant a quitté les lieux et s'est rendu chez son amie, où il a changé de vêtements, mis une casquette et des lunettes et s'est muni du couteau à viande au moyen duquel il a perpétré son agression.</w:t>
      </w:r>
    </w:p>
    <w:p>
      <w:r>
        <w:t>En s'attaquant ainsi à une personne dont il n'avait absolument pas eu à souffrir, avec l'intention de la tuer pour un motif particulièrement futile (voir Corboz, Les infractions en droit suisse, vol. I, Berne 2002, p. 32, n. 8 ad art. 112), le recourant a fait preuve du mépris le plus complet pour la vie d'autrui. Il a ainsi adopté un comportement typique de l'assassin. La comparaison chevaleresque du recourant ne lui est d'aucune utilité tant elle est dénuée de pertinence s'agissant d'une agression aussi gratuite. De même, le fait qu'il ne se soit pas soucié de la présence de tiers dans le magasin de la victime ne change rien au caractère particulièrement odieux de son acte. C'est donc sans violer le droit fédéral que l'autorité cantonale a reconnu le recourant coupable de tentative d'assassinat.</w:t>
      </w:r>
    </w:p>
    <w:p>
      <w:r>
        <w:rPr>
          <w:b/>
        </w:rPr>
        <w:t>E. 3</w:t>
      </w:r>
    </w:p>
    <w:p>
      <w:r>
        <w:t>Le recourant reproche en outre à l'autorité cantonale de lui avoir infligé une peine arbitrairement sévère. Relevant que sa victime, terme qui figure entre guillemets dans le mémoire, n'a finalement rien eu, il soutient que la peine de six ans qui lui a été infligée est manifestement disproportionnée pour sanctionner un geste malencontreux. Il s'estime victime d'une justice kafkaïenne, qui le sanctionne pour rien.</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124 IV 286 consid. 4a p. 295 et les arrêts cités).</w:t>
      </w:r>
    </w:p>
    <w:p>
      <w:r>
        <w:t>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Toutefois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122 IV 241 consid. 1a p. 243; 118 IV 21 consid. 2b p. 24 s.; 117 IV 112 consid. 1; 116 IV 288 consid. 2a). Concernant la situation personnelle de l'auteur, le juge doit prendre en compte sa vulnérabilité face à la peine, soit son état de santé et son âge, ses obligations familiales, sa situation professionnelle, les risques de récidive, etc. ( ATF 102 IV 231 consid. 3 p. 233; 96 IV 155 consid. 3 p. 179).</w:t>
      </w:r>
    </w:p>
    <w:p>
      <w:r>
        <w:rPr>
          <w:b/>
        </w:rPr>
        <w:t>E. 3.2</w:t>
      </w:r>
    </w:p>
    <w:p>
      <w:r>
        <w:t>En l'espèce, les autorités cantonales ont relevé que la peine infligée au recourant sanctionnait un crime particulièrement grave, qui entrait de surcroît en concours avec d'autres infractions. Elles ont noté par ailleurs que les antécédents du recourant n'étaient pas bons puisqu'il avait déjà fait l'objet de plusieurs condamnations.</w:t>
      </w:r>
    </w:p>
    <w:p>
      <w:r>
        <w:t>A la décharge du recourant, les autorités cantonales ont pris en considération le fait que l'infraction la plus grave en était restée au stade de la tentative, de sorte qu'il y avait lieu de faire application de l' art. 65 CP . Elles ont, en outre, relevé que le recourant s'était en fin de compte livré lui-même aux forces de l'ordre et qu'il avait présenté des excuses lors des débats.</w:t>
      </w:r>
    </w:p>
    <w:p>
      <w:r>
        <w:t>On constate que la peine a été fixée dans le cadre légal déterminé par l' art. 112 CP , appliqué en relation avec les art. 21, 65 et 68 CP , et que l'autorité cantonale a pris en compte les éléments pertinents, sans se fonder sur des critères inappropriés. Reste donc à examiner si la peine prononcée paraît, comme le soutient le recourant, exagérément sévère au point que l'on doive considérer qu'elle procède d'un abus du pouvoir d'appréciation.</w:t>
      </w:r>
    </w:p>
    <w:p>
      <w:r>
        <w:t>Le recourant estime que la peine prononcée est excessive compte tenu du fait que sa victime n'a finalement rien eu. L'autorité cantonale a dûment pris cet élément en considération puisqu'elle a condamné le recourant pour tentative d'assassinat et, faisant application de la faculté qui lui était conférée par l' art. 21 al. 1 CP , a prononcé une peine bien inférieure au minimum de 10 ans de réclusion prévu par l' art. 112 CP . Le recourant semble perdre du vue que si sa victime n'avait pas eu une réaction particulièrement adéquate il aurait vraisemblablement à répondre d'un assassinat et se serait vu infliger une peine beaucoup plus lourde.</w:t>
      </w:r>
    </w:p>
    <w:p>
      <w:r>
        <w:t>Pour le surplus, l'argumentation du recourant montre que celui-ci n'a pas véritablement pris conscience de la gravité de ses actes. Le recourant a menacé au moyen d'un couteau placé à proximité immédiate de la carotide une personne qui aurait ainsi payé de sa vie le moindre mouvement malencontreux ou même l'absence de tout mouvement si elle n'avait eu la possibilité, notamment grâce à sa pratique des arts martiaux, d'adopter un comportement particulièrement adéquat. Dans ces circonstances, en prétendant qu'il encourt les foudres de la justice pour rien, pour une raison "kafkaïenne", le recourant montre un grave manque de prise de conscience, qui affaiblit considérablement la portée des excuses prononcées lors des débats. En effet, la jurisprudence considère que le comportement de l'auteur après les faits, duquel participent de telles excuses, est à prendre en considération dans la mesure où il dénote un véritable repentir ou pour le moins une prise de conscience ou montre que l'intéressé a tiré les enseignements qui s'imposaient, de sorte que l'on peut considérer qu'il s'abstiendra de commettre de nouvelles infractions ( ATF 118 IV 337 consid. 2c p. 341). Tel n'est malheureusement pas le cas en l'espèce et le fait que le mémoire mentionne la victime en mettant ce terme entre guillemets montre bien que le recourant n'est même pas conscient du tort causé à celle-ci, qui est pourtant manifeste, même si elle a eu la chance d'avoir la vie sauve et de ne subir que des blessures superficielles.</w:t>
      </w:r>
    </w:p>
    <w:p>
      <w:r>
        <w:t>Compte tenu de l'ensemble de ces circonstances, on ne saurait considérer que l'autorité cantonale a abusé du large pouvoir d'appréciation dont elle disposait en confirmant la peine de 6 ans de réclusion infligée au recourant.</w:t>
      </w:r>
    </w:p>
    <w:p>
      <w:r>
        <w:rPr>
          <w:b/>
        </w:rPr>
        <w:t>E. 4</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