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6S.13/2003 vom 5. März 2003</w:t>
      </w:r>
    </w:p>
    <w:p>
      <w:r>
        <w:t>Bundesgericht, 2003-03-05, FR</w:t>
      </w:r>
    </w:p>
    <w:p>
      <w:r>
        <w:rPr>
          <w:b/>
        </w:rPr>
        <w:t xml:space="preserve">Quelle: </w:t>
      </w:r>
      <w:r>
        <w:t>https://mcp.opencaselaw.ch/entscheid/bger_6S.13_2003</w:t>
      </w:r>
    </w:p>
    <w:p>
      <w:r>
        <w:t>FR: TF 6S.13/2003 du 5 mars 2003</w:t>
      </w:r>
    </w:p>
    <w:p>
      <w:r>
        <w:t>IT: TF 6S.13/2003 del 5 marzo 2003</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Invoquant une violation de l' art. 11 CP , le recourant critique le degré de diminution de sa responsabilité. Il prétend que l'autorité cantonale ne pouvait pas se fonder sur les déclarations de l'experte psychiatre aux débats et retenir ensuite une diminution légère de sa responsabilité; elle aurait dû prendre en compte une diminution moyenne. L'état de l'auteur au moment d'agir, tel qu'il a été déterminé par l'autorité cantonale, est une constatation de fait, qui ne peut être remise en cause par la voie d'un pourvoi en nullité ( art. 277bis al. 1 PPF ; ATF 123 IV 49 consid. 2c p. 51). Le grief est irrecevable.</w:t>
      </w:r>
    </w:p>
    <w:p>
      <w:r>
        <w:rPr>
          <w:b/>
        </w:rPr>
        <w:t>E. 3</w:t>
      </w:r>
    </w:p>
    <w:p>
      <w:r>
        <w:t>Le recourant se prévaut d'une violation de l' art. 63 CP . Il soutient uniquement que la motivation cantonale est insuffisante pour discerner dans quelle mesure sa diminution de responsabilité a effectivement été prise en compte.</w:t>
      </w:r>
    </w:p>
    <w:p>
      <w:r>
        <w:rPr>
          <w:b/>
        </w:rPr>
        <w:t>E. 3.1</w:t>
      </w:r>
    </w:p>
    <w:p>
      <w:r>
        <w:t>La motivation doit justifier la peine prononcée, en permettant de suivre le raisonnement adopté. Toutefois, le juge n'est nullement tenu d'exprimer en chiffres ou en pourcentages l'importance qu'il accorde à chacun des éléments qu'il cite. Il ne doit pas non plus indiquer quelle peine il aurait infligée en l'absence de circonstances aggravantes ou atténuantes ou d'autres éléments importants. Il est vrai que de telles précisions facilitent le choix du juge (et le contrôle de l'autorité de recours) en pouvant révéler qu'une peine clairement trop élevée ou trop clémente a été infligée. Mais le juge n'est pas tenu en vertu du droit fédéral de procéder ainsi. Il suffit que globalement, c'est-à-dire compte tenu de tous les éléments juridiquement pertinents, la peine infligée soit dans son résultat conforme avec le droit fédéral. Si c'est le cas, un pourvoi ne saurait être admis simplement pour améliorer ou compléter un considérant ( ATF 127 IV 101 consid. 2c p. 104/105; 121 IV 49 consid. 2a/aa p. 56/57). Le juge qui retient une responsabilité restreinte doit réduire la peine en conséquence, mais n'est pas tenu d'opérer une réduction linéaire ( ATF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toutefois exister une certaine corrélation entre la diminution de responsabilité constatée et ses conséquences sur la peine ( ATF 129 IV 22 consid. 6.2 p. 35).</w:t>
      </w:r>
    </w:p>
    <w:p>
      <w:r>
        <w:rPr>
          <w:b/>
        </w:rPr>
        <w:t>E. 3.2</w:t>
      </w:r>
    </w:p>
    <w:p>
      <w:r>
        <w:t>En l'espèce, l'autorité cantonale a relevé l'extrême gravité du meurtre commis. Le recourant a frappé violemment sa femme d'un coup de couteau dans la poitrine, sous les yeux de sa fille aînée. Il a agi par égocentrisme, ne pouvant pas supporter l'idée d'une séparation et n'acceptant pas que l'on touche à ce qu'il pensait posséder. Il a été mis au bénéfice d'une responsabilité légèrement diminuée. La peine infligée s'inscrit dans le cadre légal ( art. 111 et 35 CP ). L'autorité cantonale a suivi les critères posés par l' art. 63 CP et ne s'est pas laissée guider par des considérations étrangères à cette disposition. En particulier, elle a pris en compte la diminution de responsabilité et on ne voit pas que cet élément soit de nature à faire apparaître la peine infligée comme excessivement sévère. Que les motifs donnés pour fixer la peine mentionnent que le recourant bénéficie d'une responsabilité légèrement restreinte sans consacrer d'autres développements à cette question n'empêche pas que, dans les circonstances d'espèce, la mesure de la peine prononcée paraît plausible. Au vu de l'état de fait retenu, la peine prononcée ne procède pas d'un abus du large pouvoir d'appréciation reconnu en cette matière à l'autorité cantonale (cf. ATF 127 IV 101 consid. 2c p. 104). L'argumentation du recourant ne pourrait pas conduire à une modification du dispositif de la décision attaquée. Quelque succincte que puisse être la motivation cantonale, le pourvoi ne peut pas être admis simplement pour l'améliorer. Le grief est infondé.</w:t>
      </w:r>
    </w:p>
    <w:p>
      <w:r>
        <w:rPr>
          <w:b/>
        </w:rPr>
        <w:t>E. 4</w:t>
      </w:r>
    </w:p>
    <w:p>
      <w:r>
        <w:t>Le recourant a sollicité l'assistance judiciaire. Sa requête est admise car il a suffisamment montré qu'il est dans le besoin et ses critiques portant sur la motivation insuffisante de la peine compte tenu de sa diminution de responsabilité ne paraissaient pas d'emblée vouées à l'échec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