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6S.133/2007 vom 11. September 2008</w:t>
      </w:r>
    </w:p>
    <w:p>
      <w:r>
        <w:t>Bundesgericht, 2008-09-11, DE</w:t>
      </w:r>
    </w:p>
    <w:p>
      <w:r>
        <w:rPr>
          <w:b/>
        </w:rPr>
        <w:t xml:space="preserve">Quelle: </w:t>
      </w:r>
      <w:r>
        <w:t>https://mcp.opencaselaw.ch/entscheid/bger_6S.133_2007</w:t>
      </w:r>
    </w:p>
    <w:p>
      <w:r>
        <w:t>FR: TF 6S.133/2007 du 11 septembre 2008</w:t>
      </w:r>
    </w:p>
    <w:p>
      <w:r>
        <w:t>IT: TF 6S.133/2007 del 11 settembre 2008</w:t>
      </w:r>
    </w:p>
    <w:p>
      <w:pPr>
        <w:pStyle w:val="Heading2"/>
      </w:pPr>
      <w:r>
        <w:t>Regeste</w:t>
      </w:r>
    </w:p>
    <w:p>
      <w:r>
        <w:t>Versuchte schwere Körperverletzung (Art. 122 Abs. 1 StGB) | Straftaten</w:t>
      </w:r>
    </w:p>
    <w:p>
      <w:pPr>
        <w:pStyle w:val="Heading2"/>
      </w:pPr>
      <w:r>
        <w:t>Erwägungen</w:t>
      </w:r>
    </w:p>
    <w:p>
      <w:r>
        <w:rPr>
          <w:b/>
        </w:rPr>
        <w:t>E. 1</w:t>
      </w:r>
    </w:p>
    <w:p>
      <w:r>
        <w:t>Das angefochtene Urteil ist vor dem Inkrafttreten des Bundesgesetzes vom 17. Juni 2005 über das Bundesgericht (Bundesgerichtsgesetz) ergangen. Auf das Rechtsmittel ist deshalb noch das alte Verfahrensrecht anwendbar, hier somit dasjenige der eidgenössischen Nichtigkeitsbeschwerde ( Art. 268 ff. BStP ). Die eingereichte Beschwerde in Strafsachen ist deshalb als eidgenössische Nichtigkeitsbeschwerde entgegenzunehmen.</w:t>
      </w:r>
    </w:p>
    <w:p>
      <w:r>
        <w:rPr>
          <w:b/>
        </w:rPr>
        <w:t>E. 2.1</w:t>
      </w:r>
    </w:p>
    <w:p>
      <w:r>
        <w:t>Die Beschwerdeführerin rügt, die Vorinstanz habe zu Unrecht einen Eventualvorsatz angenommen. Zu ihren Gunsten müsse davon ausgegangen werden, dass sie darauf vertraute, es werde nichts passieren. Denn sie habe das Messer lediglich defensiv gehalten und es nicht losgelassen, wozu sie auch nicht verpflichtet gewesen sei. Sie habe sich keine Rauferei geliefert, sondern nur das Messer, welches ihr der Geschädigte habe entreissen wollen, festgehalten. Damit habe sie den eingetretenen Erfolg nicht in Kauf genommen. Es falle auf, dass im angefochtenen Urteil die Möglichkeit einer Fahrlässigkeit nicht einmal geprüft werde. Die Beschwerdeführerin rügt auch die Annahme der Vorinstanz, es liege ein vollendeter Versuch einer schweren Körperverletzung vor. Es werde ihr kein eigentliches Verursachen der Verletzung vorgeworfen, sondern vielmehr das Schaffen eines gefährlichen Zustandes. Zwischen dem Schaffen eines solchen Zustandes und der Verwirklichung der Gefahr fehle jedenfalls ein Glied in der Kausalkette, nämlich der Eintritt der eigentlichen Verletzung und zudem die Schwere dieser Verletzung. Nach Meinung der Beschwerdeführerin erfasst ihr Verhalten keineswegs alle notwendigen Handlungen, um eine schwere Körperverletzung zu provozieren, sondern diese würden - wenn überhaupt - nur die Möglichkeit einer solchen Verletzung erhöhen. Indem die Vorinstanz das Verhalten als vollendeter Versuch im Sinne von Art. 22 Abs. 1 StGB qualifizierte, habe sie diese Bestimmung falsch angewendet. Schliesslich macht die Beschwerdeführerin geltend, der Vorwurf, in einer Rangelei das Messer nicht losgelassen zu haben, sei ein Unterlassen und kein Tun. Es gehe dogmatisch um ein unechtes Unterlassungsdelikt. Sie habe aber keine Garantenstellung gehabt, was von der Vorinstanz auch nicht behauptet werde. Schliesslich sei Art. 122 Abs. 1 StGB (Lebensgefahr) kein Erfolgsdelikt, sondern ein Gefährdungsdelikt, weshalb es nicht durch Unterlassung erfüllt werden könne.</w:t>
      </w:r>
    </w:p>
    <w:p>
      <w:r>
        <w:rPr>
          <w:b/>
        </w:rPr>
        <w:t>E. 2.2</w:t>
      </w:r>
    </w:p>
    <w:p>
      <w:r>
        <w:t>Die Vorinstanz hat verbindlich festgestellt, die Beschwerdeführerin habe sich mit dem Messer in der Hand - nach vorangegangenen Drohungen und fuchtelnden Bewegungen - mit dem Geschädigten eine Rauferei bzw. eine Rangelei geliefert und dabei billigend in Kauf genommen, dass dieser lebensgefährliche Stichverletzungen erleiden könnte. Damit wird ihr ein aktives Verhalten vorgeworfen, weshalb die Voraussetzungen des unechten Unterlassungsdeliktes nicht weiter zu prüfen sind. Entgegen dem Einwand der Beschwerdeführerin handelt es sich bei Art. 122 Abs. 1 StGB im Übrigen nicht um ein Gefährdungsdelikt, sondern um ein Erfolgsdelikt ( BGE 124 IV 53 E. 2 S. 56, mit Hinweisen).</w:t>
      </w:r>
    </w:p>
    <w:p>
      <w:r>
        <w:rPr>
          <w:b/>
        </w:rPr>
        <w:t>E. 2.3</w:t>
      </w:r>
    </w:p>
    <w:p>
      <w:r>
        <w:t>Im angefochtenen Urteil wird weiter festgehalten, die Beschwerdeführerin habe dem Geschädigten gedroht, ihn umzubringen. Sie habe eine potentiell gefährliche Waffe behändigt und den Geschädigten damit konfrontiert. Sie habe nochmals gedroht, ihn fertig zu machen, und habe vor ihm fuchtelnde Bewegungen gemacht. Dass sie dabei überhaupt nicht mit der Möglichkeit einer schweren Verletzung rechnete, vermöge nicht zu überzeugen. Als Motiv für die Ergreifung des Messers habe die Beschwerdeführerin den durchaus nachvollziehbaren Wunsch erwähnt, einmal nicht nachgeben zu wollen. Es sei eine Art Schutz für sie gewesen, sie habe sich Respekt und Abstand verschaffen und sich ein bisschen stärker fühlen wollen. Wer sich - so die Vorinstanz - im Bewusstsein relativer Stärke, vielleicht sogar Überlegenheit gegenüber dem unbewaffneten Geschädigten, und mit dem festen Willen, nun um keinen Preis nachzugeben, mit einem langen Messer in der Hand eine Rauferei bzw. Rangelei liefere, der nehme auch schwere Verletzungen in Kauf. Dies gelte umso mehr, als die Beschwerdeführerin den Geschädigten gut kannte und trotz aller Beziehungsschwierigkeiten nicht habe befürchten müssen, von diesem ernsthaft verletzt zu werden.</w:t>
      </w:r>
    </w:p>
    <w:p>
      <w:r>
        <w:rPr>
          <w:b/>
        </w:rPr>
        <w:t>E. 2.4</w:t>
      </w:r>
    </w:p>
    <w:p>
      <w:r>
        <w:t>Vorsätzlich begeht ein Verbrechen oder Vergehen, wer die Tat mit Wissen und Willen ausführt ( Art. 12 Abs. 2 Satz 1 StGB ). Vorsätzlich handelt bereits, wer die Verwirklichung der Tat für möglich hält und in Kauf nimmt ( Art. 12 Abs. 2 Satz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2.5</w:t>
      </w:r>
    </w:p>
    <w:p>
      <w:r>
        <w:t>Die Begründung und Schlussfolgerung der Vorinstanz, wonach die Verletzungen des Geschädigten den objektiven Tatbestand der einfachen Körperverletzung gemäss Art. 123 StGB erfüllen, ist nicht zu beanstanden und wird in der Beschwerde auch nicht in Frage gestellt. Im Lichte der dargestellten Rechtsprechung kann auch nicht zweifelhaft sein, dass die Beschwerdeführerin diese Körperverletzung eventualvorsätzlich herbeigeführt hat. Wer sich mit einem langen Messer in der Hand mit einem andern rauft, der weiss, dass dieser verletzt werden kann. Die von der Vorinstanz aufgeführten Umstände vermögen aber auch darzutun, dass die Beschwerdeführerin eine solche Verletzung in Kauf nahm. Ihr fester Wille, bei der tätlichen Auseinandersetzung nicht nachzugeben und das Messer in der Hand zu behalten, zeigt, dass sie das offenkundige Risiko auf sich nahm und es ihr letztlich gleichgültig war, den Geschädigten zu verletzen. Damit handelte sie tatbestandsmässig im Sinne von Art. 123 Ziff. 1 StGB .</w:t>
      </w:r>
    </w:p>
    <w:p>
      <w:r>
        <w:rPr>
          <w:b/>
        </w:rPr>
        <w:t>E. 2.6</w:t>
      </w:r>
    </w:p>
    <w:p>
      <w:r>
        <w:t>Nicht gefolgt werden kann der Vorinstanz, wenn sie darüber hinaus annimmt, die Beschwerdeführerin habe auch eine allfällige schwere Körperverletzung gemäss Art. 122 Abs. 1 StGB in Kauf genommen. Dies lässt sich aufgrund des im vorinstanzlichen Urteil aufgeführten Sachverhaltes nicht begründen. Selbst wenn der Beschwerdeführerin bewusst war, mit ihrem Vorgehen den Geschädigten lebensgefährlich verletzen zu können, heisst das noch nicht, sie habe solches tatsächlich auch in Kauf genommen. Aus dem Wissen des Erfolgseintritts allein darf noch nicht auf dessen Inkaufnahme und damit auf Eventualvorsatz geschlossen werden. Vielmehr müssen weitere Umstände hinzukommen ( BGE 131 IV 1 E. 2.2 S. 5), was bei der Beschwerdeführerin nicht zutrifft. Es finden sich im Gegenteil Indizien, die zu ihren Gunsten sprechen. So hat sie nicht bewusst in den Brustkorb gestochen, was hinsichtlich schwerer Verletzungen mit einem ungleich grösseren Risiko verbunden wäre. Ihre Absicht war es, sich Respekt und Abstand zu verschaffen, dem Geschädigten Angst einzuflössen und ihn zum Weggehen zu veranlassen. Zu diesem Zweck dessen Leben aufs Spiel zu setzen, macht keinen Sinn. Die Vorinstanz weist zu Recht darauf hin, dass die Beschwerdeführerin den Geschädigten gut kannte und trotz aller Beziehungsschwierigkeiten nicht befürchten musste, von ihm ernsthaft verletzt zu werden. Auch dies spricht gegen die Inkaufnahme einer lebensgefährlichen Verletzung.</w:t>
      </w:r>
    </w:p>
    <w:p>
      <w:r>
        <w:rPr>
          <w:b/>
        </w:rPr>
        <w:t>E. 2.7</w:t>
      </w:r>
    </w:p>
    <w:p>
      <w:r>
        <w:t>Zusammenfassend lässt sich nicht dartun, die Beschwerdeführerin habe eventualvorsätzlich eine versuchte schwere Körperverletzung im Sinne von Art. 122 Abs. 1 StGB in Verbindung mit Art. 22 Abs. 1 StGB begangen. Die entsprechende Schlussfolgerung der Vorinstanz ist deshalb bundesrechtswidrig, weshalb ihr Urteil vom 23. November 2005 aufzuheben ist.</w:t>
      </w:r>
    </w:p>
    <w:p>
      <w:r>
        <w:rPr>
          <w:b/>
        </w:rPr>
        <w:t>E. 3</w:t>
      </w:r>
    </w:p>
    <w:p>
      <w:r>
        <w:t>Da die Beschwerdeführerin obsiegt, hat sie keine Kosten zu tragen. Das Gesuch um unentgeltliche Rechtspflege wird damit gegenstandslos. Dem Rechtsvertreter der Beschwerdeführerin ist eine angemessene Entschädigung aus der Bundesgerichtskasse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