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6S.132/2000 vom 24. August 2000</w:t>
      </w:r>
    </w:p>
    <w:p>
      <w:r>
        <w:t>Bundesgericht, 2000-08-24, DE</w:t>
      </w:r>
    </w:p>
    <w:p>
      <w:r>
        <w:rPr>
          <w:b/>
        </w:rPr>
        <w:t xml:space="preserve">Quelle: </w:t>
      </w:r>
      <w:r>
        <w:t>https://mcp.opencaselaw.ch/entscheid/bger_6S.132_2000</w:t>
      </w:r>
    </w:p>
    <w:p>
      <w:r>
        <w:t>FR: TF 6S.132/2000 du 24 août 2000</w:t>
      </w:r>
    </w:p>
    <w:p>
      <w:r>
        <w:t>IT: TF 6S.132/2000 del 24 agosto 2000</w:t>
      </w:r>
    </w:p>
    <w:p>
      <w:pPr>
        <w:pStyle w:val="Heading2"/>
      </w:pPr>
      <w:r>
        <w:t>Regeste</w:t>
      </w:r>
    </w:p>
    <w:p>
      <w:r>
        <w:t>Straftaten</w:t>
      </w:r>
    </w:p>
    <w:p>
      <w:pPr>
        <w:pStyle w:val="Heading2"/>
      </w:pPr>
      <w:r>
        <w:t>Erwägungen</w:t>
      </w:r>
    </w:p>
    <w:p>
      <w:r>
        <w:rPr>
          <w:b/>
        </w:rPr>
        <w:t>E. 1</w:t>
      </w:r>
    </w:p>
    <w:p>
      <w:r>
        <w:t>a) Der Beschwerdeführer anerkennt, dass er den Tatbestand des Art. 325 Abs. 1 StGB in allen Teilen erfüllt hat. Er macht einzig geltend, die Vorinstanz habe zu Unrecht den Eintritt der absoluten Verfolgungsverjährung verneint. Der Übertretungstatbestand der Verletzung von Buchführungspflichten durch zeitlichen Verzug in Bezug auf die Erstellung der Jahresabschlüsse sei kein Dauerdelikt, sondern ein Zustandsdelikt. Als Unterlassungsdelikt sei die Tat in dem Zeitpunkt beendet, in dem der Buchführungspflichtige hätte handeln sollen. Für Aktiengesellschaften sehe das Gesetz vor, dass die Generalversammlung innerhalb von 6 Monaten nach dem Abschlusstag stattzufinden habe und die Vorlagefrist 20 Tage betrage. Als für die Buchhaltung der Firma Y.________ AG verantwortlicher Geschäftsführer hätte er dafür sorgen müssen, dass der Jahresabschluss für das Geschäftsjahr 1996 spätestens am 10. Juni 1997 vorlag. Ab diesem Datum sei das Delikt beendet gewesen und habe die absolute Verfolgungsverjährungsfrist von 2 Jahren zu laufen begonnen. Die Verjährung sei somit am 12. Juni 1999 eingetreten. Selbst wenn Art. 325 StGB als Dauerdelikt qualifiziert würde, wäre das Urteil des Obergerichts nach Eintritt der absoluten Verfolgungsverjährung gefällt worden. In diesem Fall hätte die Verjährung am 4. November 1997 zu laufen begonnen, da er zu diesem Zeitpunkt seinen Pflichten vollumfänglich nachgekommen sei. Der Verzug vom 30. November 1997 bis zum 2. Februar 1998 sei offensichtlich vom Treuhänder zu vertreten. b) Die Vorinstanz führt zur Frage der Verjährung aus, der Tatbestand des Art. 325 StGB diene der Durchsetzung der namentlich für Aktiengesellschaften geltenden obligationenrechtlichen Buchführungspflichten gemäss Art. 957 OR bzw. Art. 662 ff. OR . Geschütztes Rechtsgut sei das Interesse von Aktionären und Gläubigern an einer transparenten Vermögenslage. Dieses Rechtsgut bleibe so lange verletzt, bis der vernachlässigten Buchführungspflicht nachgekommen werde. Damit falle die ordnungswidrige Buchführung in die Kategorie der Dauerdelikte, welche erst mit der Beseitigung des rechtswidrigen Zustandes beendigt würden. X.L.________ habe eine ordnungsgemässe Bilanz und Erfolgsrechnung für die Jahre 1995 und 1996 erst auf den 2. Februar 1998 erstellt bzw. erstellen lassen. Seine strafbare Unterlassung verjähre somit erst am 2. Februar 2000 (angefochtenes Urteil, S. 5 f.).</w:t>
      </w:r>
    </w:p>
    <w:p>
      <w:r>
        <w:rPr>
          <w:b/>
        </w:rPr>
        <w:t>E. 2</w:t>
      </w:r>
    </w:p>
    <w:p>
      <w:r>
        <w:t>Aufl. Zürich 1997, Art. 71 N 3 mit ausführlichen Verweisen zur bundesgerichtlichen Rechtsprechung). Stellt das verantwortliche Gesellschaftsorgan nicht innert 6 Monaten nach Ablauf des Geschäftsjahres eine ordnungsgemässe Bilanz auf, verhält es sich vom Fristablauf an rechtswidrig. Das Interesse der Gläubiger und weiterer Beteiligter, Kenntnis über die finanzielle Lage der Gesellschaft zu erhalten, bleibt über die genannte Frist hinaus bestehen. Entsprechend dauert die Buchführungspflicht auch nach Ablauf der Bilanzvorlegungsfrist fort. Die im pflichtwidrigen Unterlassen der gesetzlich verlangten Buchführungsarbeiten bestehende Tat ist erst beendet, wenn die Pflicht zum Handeln entfällt, etwa wenn eine ordnungsgemässe Buchführung nachgeholt wird oder wenn der Handlungspflichtige aus seiner Pflichtenstellung ausscheidet. Die Verfolgungsverjährung beginnt folglich mit dem Tag, an dem das pflichtwidrige Verhalten sein Ende nimmt ( Art. 71 Abs. 4 StGB ); die absolute Verjährung tritt zwei Jahre später ein ( Art. 109 StGB i.V.m. Art. 72 Ziff. 2 Abs. 2 StGB ). Einzuräumen ist, dass die Verfolgungsverjährung damit unter Umständen erst nach sehr langer Zeit beginnt und dass man sich fragen kann, ob dies beim Übertretungstatbestand von Art. 325 StGB sinnvoll ist. Wie aus den nachfolgenden Erwägungen ersichtlich, begann im vorliegenden Fall die Verfolgungsverjährung lediglich rund 8 Monate nach Beginn der Unterlassungstat zu laufen. Unter diesen Umständen kann die Frage offen bleiben.</w:t>
      </w:r>
    </w:p>
    <w:p>
      <w:r>
        <w:rPr>
          <w:b/>
        </w:rPr>
        <w:t>E. 3</w:t>
      </w:r>
    </w:p>
    <w:p>
      <w:r>
        <w:t>Den Beschwerdeführer traf als geschäftsführender Direktor der Y.________ AG die Pflicht zur Erstellung einer Jahresrechnung spätestens 6 Monate nach Abschluss des Geschäftsjahres (vgl. Art. 662 OR und Art. 326 Abs. 1 StGB ). Wie die Vorinstanz zutreffend ausführt, war die Buchführung der Y.________ AG für das Geschäftsjahr 1996 nicht ordnungsgemäss, weil sie ohne besonderen Grund nicht bis spätestens Ende Juni 1997, sondern erst rund 8 Monate später vorlag und damit zeitlich stark im Rückstand war. Auch nach Ablauf der Abschlussfrist Ende Juni 1997 blieb die durch Art. 957 OR dem Beschwerdeführer auferlegte Pflicht bestehen und verhielt sich dieser durch Unterlassen der notwendigen Schritte andauernd pflichtwidrig. Der Beschwerdeführer beauftragte erst am 4. November 1997, also rund 5 Monate nach Ablauf der Abschlussfrist, einen Treuhänder mit der Erstellung der ausstehenden Jahresrechnungen. Es stellt sich hier daher nur die Frage, ob die gesamte Zeitspanne zwischen der erheblich verspäteten Erteilung des Auftrags und dessen Erfüllung am 2. Februar 1998 dem Beschwerdeführer anzulasten ist. Das ist mit der Vorinstanz zu bejahen. Sofern sich der Bilanzierungspflichtige ausser Stande sieht, die ihm obliegende Pflicht selbst zu erfüllen, muss er die Aufgabe vorzeitig einer geeigneten Drittperson (z.B. Buchhalter oder Treuhandgesellschaft) übertragen ( BGE 96 IV 76 E. 3 S. 79). Wird der Auftrag so frühzeitig erteilt, dass mit der Fertigstellung der Bilanz vor Ablauf der Abschlussfrist gerechnet werden darf, beschränken sich die Pflichten des Organs einer Kapitalgesellschaft allein auf Auswahl, Instruktion und Kontrolle des mit der Bilanzierung Betrauten (vgl. Schubarth/Albrecht, Kommentar Strafrecht, Besonderer Teil, 2. Band, Art. 166 N 14 f.). Hält der Bilanzierungspflichtige die genannte Sorgfalt ein, genügt der blosse Fristablauf nicht, um den Tatbestand zu erfüllen (vgl. Schubarth/Albrecht, a.a.O.). Nach den verbindlichen tatsächlichen Feststellungen ( Art. 277bis Abs. 1 BStP ) des Bezirksgerichts, auf welche die Vorinstanz abgestellt hat, verzögerte sich die Erstellung der Jahresabschlüsse durch den Treuhänder, weil ihm der Beschwerdeführer unvollständige Unterlagen überlassen hatte (Urteil Bezirksgericht, S. 5). Die vom Treuhänder zur Erfüllung des Auftrags benötigten rund 3 Monate sind somit wesentlich auf das sorgfaltswidrige Verhalten des Beschwerdeführers zurückzuführen, und es gereicht ihm deshalb die gesamte zusätzliche Verzögerung zum Vorwurf. Die Vorinstanz hat deshalb zu Recht den Beginn der Verfolgungsverjährung auf den 2. Februar 1998 festgesetzt, den Tag, an welchem der Treuhänder die Jahresrechnungen ablieferte. Im Zeitpunkt des vorinstanzlichen Urteils vom 11. Januar 2000 war die Übertretung somit noch nicht absolut verjährt.</w:t>
      </w:r>
    </w:p>
    <w:p>
      <w:r>
        <w:rPr>
          <w:b/>
        </w:rPr>
        <w:t>E. 4</w:t>
      </w:r>
    </w:p>
    <w:p>
      <w:r>
        <w:t>Die eidgenössische Nichtigkeitsbeschwerde ist daher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