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6P.94/2002 vom 26. November 2002</w:t>
      </w:r>
    </w:p>
    <w:p>
      <w:r>
        <w:t>Bundesgericht, 2002-11-26, FR</w:t>
      </w:r>
    </w:p>
    <w:p>
      <w:r>
        <w:rPr>
          <w:b/>
        </w:rPr>
        <w:t xml:space="preserve">Quelle: </w:t>
      </w:r>
      <w:r>
        <w:t>https://mcp.opencaselaw.ch/entscheid/bger_6P.94_2002</w:t>
      </w:r>
    </w:p>
    <w:p>
      <w:r>
        <w:t>FR: TF 6P.94/2002 du 26 novembre 2002</w:t>
      </w:r>
    </w:p>
    <w:p>
      <w:r>
        <w:t>IT: TF 6P.94/2002 del 26 novembre 2002</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et ne peut donc être invoquée dans le cadre d'un recours de droit public, qui est subsidiaire ( art. 84 al. 2 OJ ; art. 269 al. 2 PPF ).</w:t>
      </w:r>
    </w:p>
    <w:p>
      <w:r>
        <w:rPr>
          <w:b/>
        </w:rPr>
        <w:t>E. 2</w:t>
      </w:r>
    </w:p>
    <w:p>
      <w:r>
        <w:t>Le recourant reproche à la cour cantonale d'avoir nié que le jugement de première instance était insuffisamment motivé quant à la peine qui lui a été infligée, en violation arbitraire de l' art. 373 al. 2 let. a CPP /VD. Il ajoute que l'obligation du juge de motiver sa décision découle aussi directement des art. 29 al. 2 Cst. et 6 ch. 3 let. d CEDH.</w:t>
      </w:r>
    </w:p>
    <w:p>
      <w:r>
        <w:rPr>
          <w:b/>
        </w:rPr>
        <w:t>E. 2.1</w:t>
      </w:r>
    </w:p>
    <w:p>
      <w:r>
        <w:t>L' art. 373 al. 2 let. a CPP /VD dispose que le jugement contient les considérants de fait, en indiquant brièvement les motifs de la conviction du tribunal sur les faits importants pour le jugement de la cause.</w:t>
      </w:r>
    </w:p>
    <w:p>
      <w:r>
        <w:t>Il résulte du chiffre I.4 let. b de l'arrêt attaqué (p. 97 ss) que le droit à une décision motivée pouvant être déduit de cette disposition n'a pas une portée plus étendue que celle du même droit découlant du droit d'être entendu garanti par l' art. 29 al. 2 Cst. (cf. également Bovay/Dupuis/Moreillon/Piguet, Procédure pénale vaudoise, Code annoté, art. 373, ch. 3.1). Le recourant ne le conteste nullement, mais précise au contraire lui-même que le droit que lui confère la disposition de droit cantonal invoquée peut aussi être déduit directement de l' art. 29 al. 2 Cst. . Quant à l' art. 6 ch. 3 let . d CEDH, que le recourant se borne à citer en sus, il garantit à tout accusé le droit d'interroger ou de faire interroger les témoins à charge et d'obtenir la convocation et l'interrogatoire des témoins à décharge dans les mêmes conditions que les témoins à charge; il est donc sans relation avec le droit à une décision motivée invoqué par le recourant. Il suffit donc d'examiner le grief sous l'angle de l' art. 29 al. 2 Cst.</w:t>
      </w:r>
    </w:p>
    <w:p>
      <w:r>
        <w:rPr>
          <w:b/>
        </w:rPr>
        <w:t>E. 2.2</w:t>
      </w:r>
    </w:p>
    <w:p>
      <w:r>
        <w:t>Le droit à une décision motivée découlant du droit d'être entendu garanti par l' art. 29 al. 2 Cst. correspond à l'obligation du juge de motiver sa décision de manière à ce que son destinataire puisse la comprendre et l'attaquer utilement s'il y a lieu et à ce que l'autorité de recours puisse exercer son contrôle ( ATF 126 I 97 consid. 2b p. 102). Il suffit, pour répondre à ces exigences, que le juge mentionne, au moins brièvement, les motifs qui l'ont guidé et sur lesquels il a fondé sa décision, de sorte que l'intéressé puisse se rendre compte de la portée de celle-ci et l'attaquer en connaissance de cause; il n'a pas l'obligation d'exposer et de discuter tous les arguments invoqués par les parties et il peut passer sous silence ce qui, sans arbitraire, lui paraît à l'évidence non établi ou sans pertinence ( ATF 126 I 97 consid. 2b p. 102 s.; 124 II 146 consid. 2a p. 149; 124 V 180 consid. 1a p. 181; 123 I 31 consid. 2c p. 34; 123 II 175 consid. 6c p. 183 s.; 122 IV 8 consid. 2c p. 14 s.).</w:t>
      </w:r>
    </w:p>
    <w:p>
      <w:r>
        <w:rPr>
          <w:b/>
        </w:rPr>
        <w:t>E. 2.3</w:t>
      </w:r>
    </w:p>
    <w:p>
      <w:r>
        <w:t>Il résulte des pages 217 ss du jugement de première instance que le Tribunal correctionnel a dûment motivé sa décision quant à la peine infligée au recourant, exposant sur près d'une page et demie de quels éléments, tant favorables que défavorables, il tenait compte pour la fixer. Le prononcé sur la peine a donc été motivé et cette motivation était suffisante pour que le recourant puisse comprendre comment la peine avait été arrêtée et exercer son droit de recours à bon escient; preuve en est d'ailleurs que le recourant a parfaitement été à même de critiquer dans son recours cantonal la peine qui lui avait été infligée en première instance. La cour de cassation cantonale pouvait dès lors admettre, sans violer le droit d'être entendu du recourant, que la peine avait été suffisamment motivée.</w:t>
      </w:r>
    </w:p>
    <w:p>
      <w:r>
        <w:t>En réalité, le recourant, comme le montre son argumentation, se plaint essentiellement, si ce n'est exclusivement, de ce que la peine n'ait pas été motivée de manière suffisante pour que l'on puisse discerner si et dans quelle mesure il a été tenu compte des éléments pertinents à prendre en considération dans la fixation de la peine, donc si l' art. 63 CP a été correctement appliqué. La question relève toutefois de l'application du droit fédéral ( ATF 120 IV 136 consid. 3a p. 143; 118 IV 14 consid. 2 p. 15), dont une éventuelle violation ne peut être invoquée dans un recours de droit public, qui est par conséquent irrecevable sur ce point (cf. supra, consid. 1).</w:t>
      </w:r>
    </w:p>
    <w:p>
      <w:r>
        <w:t>Le grief ne peut dès lors qu'être rejeté dans la mesure où il est recevable.</w:t>
      </w:r>
    </w:p>
    <w:p>
      <w:r>
        <w:rPr>
          <w:b/>
        </w:rPr>
        <w:t>E. 3</w:t>
      </w:r>
    </w:p>
    <w:p>
      <w:r>
        <w:t>Le recourant se plaint d'une "application arbitraire des art. 11, 13, 63 et 66 CP". Il reproche d'abord à la cour cantonale d'avoir déduit arbitrairement de l'expertise du 21 juillet 2000 que la diminution de sa responsabilité pénale pouvait être évaluée à 40 %. Il soutient en outre que la peine qui lui a été infligée est excessive au regard des éléments à prendre en considération dans le cas d'espèce et qu'elle l'est également en comparaison de celles qui sont prononcées dans des cas similaires.</w:t>
      </w:r>
    </w:p>
    <w:p>
      <w:r>
        <w:t>Il ressort clairement de l'arrêt attaqué que la cour cantonale ne s'est pas écartée de l'expertise, admettant au contraire expressément avec celle-ci une "diminution moyenne de la responsabilité du recourant". Statuant sur un grief de réforme du recourant, qui se plaignait notamment de ce que les premiers juges n'avaient pas indiqué dans quelle mesure ils diminuaient la peine à raison de sa responsabilité restreinte et observant qu'une diminution moyenne de la responsabilité ne signifie pas nécessairement que la peine doive être réduite de moitié, elle a considéré que, dans le cas particulier, cette diminution impliquait une réduction de la peine d'environ 40 %. Or, la question de savoir si la peine a été réduite dans une mesure suffisante au regard de la diminution de responsabilité retenue relève de l'application du droit fédéral (cf. ATF 123 IV 1 consid. 2 et 3 p. 4-6; 49 consid. 2 p. 50 ss). C'est au reste également une question d'application du droit fédéral que de savoir si la peine prononcée doit être considérée comme excessive au regard des éléments à prendre en considération ( ATF 127 IV 101 consid. 2c p. 104 et les arrêts cités) ou par rapport à des peines qui sont infligées dans des cas similaires ( ATF 120 IV 136 consid. 3a p. 144 et les arrêts cités).</w:t>
      </w:r>
    </w:p>
    <w:p>
      <w:r>
        <w:t>Les griefs ainsi formulés, qui sont d'ailleurs également soulevés par le recourant dans le pourvoi en nullité qu'il a déposé parallèlement, sont par conséquent irrecevables dans un recours de droit public (cf. supra, consid. 1).</w:t>
      </w:r>
    </w:p>
    <w:p>
      <w:r>
        <w:rPr>
          <w:b/>
        </w:rPr>
        <w:t>E. 4</w:t>
      </w:r>
    </w:p>
    <w:p>
      <w:r>
        <w:t>Le recours doit ainsi être rejeté dans la faible mesure où il est recevable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