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6P.92/2001 vom 16. Oktober 2001</w:t>
      </w:r>
    </w:p>
    <w:p>
      <w:r>
        <w:t>Bundesgericht, 2001-10-16, FR</w:t>
      </w:r>
    </w:p>
    <w:p>
      <w:r>
        <w:rPr>
          <w:b/>
        </w:rPr>
        <w:t xml:space="preserve">Quelle: </w:t>
      </w:r>
      <w:r>
        <w:t>https://mcp.opencaselaw.ch/entscheid/bger_6P.92_2001</w:t>
      </w:r>
    </w:p>
    <w:p>
      <w:r>
        <w:t>FR: TF 6P.92/2001 du 16 octobre 2001</w:t>
      </w:r>
    </w:p>
    <w:p>
      <w:r>
        <w:t>IT: TF 6P.92/2001 del 16 ottobre 2001</w:t>
      </w:r>
    </w:p>
    <w:p>
      <w:pPr>
        <w:pStyle w:val="Heading2"/>
      </w:pPr>
      <w:r>
        <w:t>Regeste</w:t>
      </w:r>
    </w:p>
    <w:p>
      <w:r>
        <w:t>Procédure</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et ne peut donc être invoquée dans le cadre d'un recours de droit public, qui est subsidiaire ( art. 84 al. 2 OJ ; art. 269 al. 2 PPF ). b) Saisi d'un recours de droit public, le Tribunal fédéral n'examine que les griefs d'ordre constitutionnel invoqués et suffisamment motivés dans l'acte de recours. Il résulte de l' art. 90 al. 1 let. b OJ que le recourant, en se fondant sur la décision attaquée, doit indiquer quels sont les droits constitutionnels qui auraient été violés et préciser, pour chacun d'eux, en quoi consiste la violation ( ATF 122 I 70 consid. 1c p. 73 et la jurisprudence citée).</w:t>
      </w:r>
    </w:p>
    <w:p>
      <w:r>
        <w:rPr>
          <w:b/>
        </w:rPr>
        <w:t>E. 2</w:t>
      </w:r>
    </w:p>
    <w:p>
      <w:r>
        <w:t>Le recourant se plaint d'arbitraire dans l'appréciation des preuves. Il invoque les art. 6 par. 2 CEDH et 9 Cst. a) Le Tribunal correctionnel a retenu que le mobile de discrimination raciale était établi, de même que celui d'antisémitisme. Il a en effet considéré que l'ensemble de l'oeuvre écrite de l'accusé, la littérature qu'il avait diffusée et les contacts qu'il avait noués avec les mouvements racistes et l'extrême-droite démontraient son sentiment profond d'antisémitisme. b) Le recours de droit public n'est, sous réserve de certaines exceptions sans pertinence en l'espèce, recevable qu'à l'encontre des décisions prises en dernière instance cantonale ( art. 86 al. 1 OJ ). Cette règle a pour conséquence que seuls sont recevables devant le Tribunal fédéral les griefs qui, pouvant l'être, ont été présentés à l'autorité cantonale de dernière instance. La jurisprudence admet cependant la recevabilité de moyens de droit nouveaux si l'autorité cantonale de dernière instance disposait d'un pouvoir d'examen libre et devait appliquer le droit d'office. Cette exception vaut pour tous les griefs qui ne se confondent pas avec l'arbitraire et notamment pour celui tiré de la violation du droit à un procès équitable, à la condition que le comportement du recourant ne soit pas contraire à la règle de la bonne foi; selon cette règle, celui qui ne soulève pas devant l'autorité cantonale de dernière instance un grief lié à la conduite de la procédure ne peut plus, en principe, le soulever devant le Tribunal fédéral ( ATF 119 Ia 88 consid. 1a p. 90 s. et les arrêts cités). En procédure pénale vaudoise, deux voies de droit distinctes sont ouvertes contre le jugement pénal de première instance, le recours en nullité et le recours en réforme. Le recours en nullité a pour objet une irrégularité de procédure ou une contestation relative à l'établissement des faits, alors que les critiques relatives à la qualification juridique des faits doivent être soulevées dans le cadre d'un recours en réforme ( art. 411 et 415 CPP vaud. ; cf. Roland Bersier, Le recours à la Cour de cassation pénale du Tribunal cantonal en procédure vaudoise, in JdT 1996 III 65). Saisie d'un recours en réforme, la Cour de cassation pénale examine librement les questions de droit sans être limitée aux moyens invoqués, mais ne peut pas aller au-delà des conclusions du recourant ( art. 447 CPP vaud.); par contre, saisie d'un recours en nullité, elle n'examine que les moyens soulevés ( art. 439 al. 1 CPP vaud.). c) En l'espèce, le Tribunal cantonal indique que le recourant n'a pas contesté, dans son recours en nullité, les mobiles retenus à son encontre par le Tribunal correctionnel. Le grief d'arbitraire présenté pour la première fois dans le recours de droit public est par conséquent irrecevable. Au demeurant, les motifs ayant conduit le Tribunal correctionnel à retenir un mobile antisémite échappent au grief d'arbitraire.</w:t>
      </w:r>
    </w:p>
    <w:p>
      <w:r>
        <w:rPr>
          <w:b/>
        </w:rPr>
        <w:t>E. 3</w:t>
      </w:r>
    </w:p>
    <w:p>
      <w:r>
        <w:t>Le recourant invoque une violation de l' art. 10 CEDH . Il estime que sa condamnation viole cette disposition car l'art. 261bis al. 4 in fine CP ne serait pas compatible avec l' art. 10 al. 2 CEDH . En vertu de l' art. 191 Cst. , le Tribunal fédéral est tenu d'appliquer les lois fédérales et le droit international. Cette disposition correspond à l' art. 113 al. 3 aCst. ; la jurisprudence relative à cette dernière norme garde sa validité ( ATF 126 IV 236 consid. 4b p. 248). Le Tribunal fédéral a d'abord jugé que l' art. 113 al. 3 aCst. l'obligeait à appliquer les lois fédérales mais ne l'empêchait pas d'en examiner la conformité à la CEDH ( ATF 118 Ia 341 consid. 5 p. 353; cf. ATF 117 Ib 367 consid. 2f p. 373); il a aussi jugé que la CEDH primait sur une loi fédérale lorsque celle-ci était antérieure ( ATF 118 Ia 473 consid. 5b/bb p. 480). Finalement, il a admis le principe de la primauté du droit international, retenant que ce principe découlait de la nature même de la règle internationale, hiérarchiquement supérieure à toute règle interne, et que l'argument de la loi postérieure était inapplicable, en particulier face à une norme du droit international protégeant les droits de l'homme; il a toutefois laissé ouverte la question de savoir s'il fallait exceptionnellement continuer à appliquer le droit national lorsque le législateur fédéral avait volontairement passé outre au droit international ( ATF 125 II 417 consid. 4d p. 424; 122 II 234 consid. 4e p. 239, 485 consid. 3a p. 487 et les arrêts cités). Le 12 mars 2000, le peuple et les cantons ont accepté une modification de la Constitution relative à la réforme de la justice; cette réforme ne prévoit pas l'institution d'une juridiction constitutionnelle. On peut dès lors se demander si ce choix politique doit avoir des conséquences sur la jurisprudence susmentionnée. La question peut rester ouverte en l'espèce. En effet, si l' art. 10 par. 1 CEDH prévoit que toute personne a droit à la liberté d'expression, l' art. 10 par. 2 CEDH prévoit que l'exercice de cette liberté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Ainsi, la CEDH n'exclut pas que les Etats adoptent des dispositions limitant la liberté d'expression. L' art. 261bis CP est donc tout à fait conforme au système prévu par la convention. Savoir en revanche si, dans un cas particulier, l'application de cette norme est conforme aux conditions posées par l' art. 10 par. 2 CEDH est une question d'interprétation du droit fédéral et elle doit être soulevée dans un pourvoi en nullité (cf. ATF 119 IV 107 consid. 1a p. 109).</w:t>
      </w:r>
    </w:p>
    <w:p>
      <w:r>
        <w:rPr>
          <w:b/>
        </w:rPr>
        <w:t>E. 4</w:t>
      </w:r>
    </w:p>
    <w:p>
      <w:r>
        <w:t>Le recourant se plaint d'une violation de son droit d'être entendu et de son droit à un procès équitable. Il soutient que le seul critère pertinent pour déterminer s'il a agi publiquement, au sens de l' art. 261bis CP , est de savoir s'il y a eu tri des destinataires du "Courrier du Continent" ou non. Le Tribunal cantonal aurait donc violé son droit d'être entendu en refusant de faire instruire la question du mode de recrutement des destinataires du journal en question. a) Tel qu'il est reconnu par l' art. 29 al. 2 Cst. , le droit d'être entendu comprend notamment le droit pour l'intéressé d'offrir des preuves pertinentes et d'obtenir qu'il soit donné suite à ses offres de preuves lorsque cela est de nature à influer sur la décision à rendre ( ATF 126 I 15 consid. 2a/aa p. 16 et les arrêts cités). Le droit d'être entendu ne peut donc être exercé que sur des éléments qui sont déterminants pour décider de l'issue du litige ( ATF 125 I 127 consid. 6c/cc p. 135 et les arrêts cités). aa) En l'espèce, la jurisprudence a défini dans quels cas l'auteur agissait publiquement au sens de l'art. 261bis al. 1 à 4 CP. Le caractère public dépend des circonstances globales et doit être apprécié en fonction du sens et du but de la norme pénale en cause. Parmi les circonstances pertinentes figurent d'une part l'endroit où les propos incriminés sont tenus et, d'autre part, le nombre de destinataires ainsi que les liens que l'auteur entretient avec eux. Ainsi, les propos tenus dans un lieu où ils peuvent être perçus par un nombre indéterminé de personnes peuvent être publics, même si concrètement ils ne sont portés qu'à la connaissance de deux personnes. Par contre, cela ne saurait être le cas si les propos sont émis dans un cercle fermé, même s'il comprend vingt personnes par exemple ( ATF 126 IV 176 consid. 2b et c, 230 consid. 2b p. 233 s.). Selon la jurisprudence, est publique la provocation au crime ou à la violence réalisée par le collage d'une affiche sur un panneau de signalisation en ville ( ATF 111 IV 151 ). Est public l'envoi de 432 lettres, donc à un grand cercle de destinataires ( ATF 123 IV 202 consid. 4c p. 210), de même que l'envoi d'un document à plusieurs dizaines de personnes ( ATF 126 IV 20 consid. 1d p. 25/26). En revanche, n'est pas public l'envoi d'un livre à sept personnes même si l'expéditeur n'a aucun contrôle sur les destinataires et qu'il existe un risque que, via ceux-ci, le contenu incriminé de l'ouvrage se répande auprès d'un cercle plus large; le contrôle par l'expéditeur sur la diffusion ultérieure n'est pas le critère adéquat pour trancher entre ce qui est public et ce qui ne l'est pas; ce n'est pas le risque d'une large diffusion qu'il faut prendre en compte, mais il s'agit bien plus de savoir si ce risque s'est effectivement réalisé pour admettre que l'auteur a agi publiquement; le fait que le risque soit plus ou moins grand suivant que les propos sont adressés à des amis, de simples connaissances ou des étrangers n'a de rôle que dans l'appréciation de l'élément subjectif de l'infraction, plus le risque étant élevé, plus le dol éventuel pouvant le cas échéant être admis ( ATF 126 IV 176 consid. 2b et c, 230 consid. 2b p. 233 s.). bb) En l'espèce, il est établi qu'en 1995, le recourant diffusait le "Courrier du Continent" auprès d'environ deux cents abonnés ainsi qu'à divers destinataires en particulier différents services de presse. Le recourant a aussi admis qu'il adressait systématiquement des exemplaires à toutes les personnes qui lui avaient été citées comme "intéressantes" par ses sympathisants. Le cercle des destinataires du "Courrier du Continent" n'était donc pas un cercle fermé contrairement à ce qu'affirme le recourant. Que les destinataires aient été des abonnés ou des personnes décrites comme "intéressantes" par les sympathisants n'y change rien. Ces personnes semblent d'ailleurs avoir reçu un exemplaire du journal sans même l'avoir demandé. Au demeurant, quelque soit le mode de recrutement des destinataires du journal, leur nombre très élevé suffit pour retenir que le recourant a agi publiquement au sens de l' art. 261bis CP . b) Il découle de ce qui précède que le "mode de recrutement" sur lequel le recourant souhaitait voir porter l'instruction n'était pas de nature à influer sur la décision à rendre. Il n'y a donc pas eu de violation du droit d'être entendu du recourant.</w:t>
      </w:r>
    </w:p>
    <w:p>
      <w:r>
        <w:rPr>
          <w:b/>
        </w:rPr>
        <w:t>E. 5</w:t>
      </w:r>
    </w:p>
    <w:p>
      <w:r>
        <w:t>Le recours sera rejeté dans la mesure où il est recevable et le recourant, qui succombe, sera condamné aux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