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6P.8/2004 vom 9. März 2004</w:t>
      </w:r>
    </w:p>
    <w:p>
      <w:r>
        <w:t>Bundesgericht, 2004-03-09, FR</w:t>
      </w:r>
    </w:p>
    <w:p>
      <w:r>
        <w:rPr>
          <w:b/>
        </w:rPr>
        <w:t xml:space="preserve">Quelle: </w:t>
      </w:r>
      <w:r>
        <w:t>https://mcp.opencaselaw.ch/entscheid/bger_6P.8_2004</w:t>
      </w:r>
    </w:p>
    <w:p>
      <w:r>
        <w:t>FR: TF 6P.8/2004 du 9 mars 2004</w:t>
      </w:r>
    </w:p>
    <w:p>
      <w:r>
        <w:t>IT: TF 6P.8/2004 del 9 marzo 2004</w:t>
      </w:r>
    </w:p>
    <w:p>
      <w:pPr>
        <w:pStyle w:val="Heading2"/>
      </w:pPr>
      <w:r>
        <w:t>Regeste</w:t>
      </w:r>
    </w:p>
    <w:p>
      <w:r>
        <w:t>Procédure</w:t>
      </w:r>
    </w:p>
    <w:p>
      <w:pPr>
        <w:pStyle w:val="Heading2"/>
      </w:pPr>
      <w:r>
        <w:t>Erwägungen</w:t>
      </w:r>
    </w:p>
    <w:p>
      <w:r>
        <w:rPr>
          <w:b/>
        </w:rPr>
        <w:t>E. 1</w:t>
      </w:r>
    </w:p>
    <w:p>
      <w:r>
        <w:t>Seul le recours de droit public est ouvert pour se plaindre de la violation directe d'un droit constitutionnel ou conventionnel ( art. 84 al. 1 let. a OJ et 269 PPF).</w:t>
      </w:r>
    </w:p>
    <w:p>
      <w:r>
        <w:rPr>
          <w:b/>
        </w:rPr>
        <w:t>E. 2</w:t>
      </w:r>
    </w:p>
    <w:p>
      <w:r>
        <w:t>Selon le recourant, la Cour pénale a appliqué l' art. 19 ch. 2 let . c LStup en admettant à la fois l'existence d'un chiffre d'affaires et d'un gain importants, alors que le premier juge n'avait pris en compte qu'un chiffre d'affaires important. Il se plaint d'une violation de l'interdiction de la reformatio in pejus prévue à l'art. 193 al. 2 du Code de procédure pénale valaisan. Selon cette disposition, en substance, le jugement ne peut être modifié au préjudice du prévenu qui a seul formé appel. Le recourant prétend aussi que par rapport au gain réalisé pris en compte en appel, il a été privé de la possibilité de se défendre, en violation des art. 29 al. 2 Cst. et 6 par. 1 CEDH. L'interdiction de la reformatio in pejus n'est pas une garantie de rang constitutionnel et ce sont les règles cantonales de procédure qui peuvent l'admettre ou la rejeter (cf. Gérard Piquerez, Procédure pénale suisse, Zurich 2000, n. 3344, p. 720). Ce n'est que sous l'angle restreint de l'interdiction de l'arbitraire que le Tribunal fédéral peut revoir l'interprétation et l'application du droit cantonal de procédure ( ATF 121 I 1 consid. 2 p. 3). En l'espèce, le recourant a été renvoyé en jugement sous l'accusation de l' art. 19 ch. 2 LStup , dont la lettre c prévoit que le cas est grave lorsque l'auteur "se livre au trafic par métier et qu'il réalise ainsi un chiffre d'affaires ou un gain important". Le juge de première instance a considéré que le recourant tombait sous le coup de l' art. 19 ch. 2 let . c LStup et l'a condamné, avant tout pour ce chef d'accusation, à quinze mois d'emprisonnement. La Cour pénale a quant à elle prononcé une peine de quatorze mois d'emprisonnement pour cette infraction. Le sort du recourant n'a par conséquent pas été aggravé. Le gain réalisé (de 60'000 à 62'000 francs) n'est pas une constatation factuelle nouvelle introduite par la Cour pénale mais se déduit aisément du jugement de première instance (p. 5, lettres b et c). Il s'ensuit que rien ne permet d'envisager une application arbitraire de la norme cantonale invoquée par le recourant. En outre, le grief soulevé n'est pas de nature à faire apparaître la décision attaquée comme arbitraire dans son résultat ( ATF 129 I 8 consid. 2.1 p. 9). En effet, indépendamment du gain réalisé, le chiffre d'affaires pris en compte suffit à lui seul pour admettre la réalisation de l'infraction (infra, consid. 3). Au surplus, le déroulement de la procédure cantonale n'a pas lésé les droits de défense du recourant. Son argumentation est dépourvue de fondement. II. Pourvoi en nullité</w:t>
      </w:r>
    </w:p>
    <w:p>
      <w:r>
        <w:rPr>
          <w:b/>
        </w:rPr>
        <w:t>E. 3</w:t>
      </w:r>
    </w:p>
    <w:p>
      <w:r>
        <w:t>Contestant l'existence d'un chiffre d'affaires important, le recourant se plaint d'une violation de l' art. 19 ch. 2 let . c LStup. Il relève que les 130'000 francs de chiffre d'affaires ont été réalisés sur dix-sept mois (de mai 1999 à octobre 2000), ce qui donne un montant annualisé de l'ordre de 92'000 francs, lequel est inférieur aux 100'000 francs requis. Selon la jurisprudence récente, pourtant citée par la Cour pénale mais qu'ignore le recourant, le chiffre d'affaires doit être qualifié d'important lorsqu'il atteint 100'000 francs, indépendamment de la durée de l'activité illicite, ce dernier élément jouant uniquement un rôle quant à la réalisation de la circonstance du métier ( ATF 129 IV 188 consid. 3.1.3 et 3.2.1 p. 192 ss). En l'espèce, le chiffre d'affaires s'élève au moins à 130'000 francs. Il doit donc être qualifié d'important. Sur la période considérée de dix-sept mois, il ressort des constatations cantonales que le recourant a mis en place une importante infrastructure pour la production et la vente de stupéfiants et qu'il s'est ainsi procuré une part importante du financement de son genre de vie. Les conditions requises pour admettre le métier sont réunies ( ATF 129 IV 188 consid. 3.1.2 p. 190 ss; 123 IV 113 consid. 2c p. 116). Il s'ensuit que la condamnation du recourant en vertu de l' art. 19 ch. 2 let . c LStup ne viole pas le droit fédéral. III. Frais</w:t>
      </w:r>
    </w:p>
    <w:p>
      <w:r>
        <w:rPr>
          <w:b/>
        </w:rPr>
        <w:t>E. 4</w:t>
      </w:r>
    </w:p>
    <w:p>
      <w:r>
        <w:t>Les recours étaient manifestement infondés. La requête d'assistance judiciaire doit par conséquent être rejetée ( art. 152 al. 1 OJ ). Le recourant, qui succombe, supporte les frais relatifs aux deux recours ( art. 156 al. 1 OJ et 278 al. 1 PPF), lesquels sont fixés de manière réduite pour tenir compte de sa mauvaise situation financière. Par ces motifs, vu les art. 36a OJ et 275bisPPF,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