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6P.72/2004 vom 28. Juni 2004</w:t>
      </w:r>
    </w:p>
    <w:p>
      <w:r>
        <w:t>Bundesgericht, 2004-06-28, FR</w:t>
      </w:r>
    </w:p>
    <w:p>
      <w:r>
        <w:rPr>
          <w:b/>
        </w:rPr>
        <w:t xml:space="preserve">Quelle: </w:t>
      </w:r>
      <w:r>
        <w:t>https://mcp.opencaselaw.ch/entscheid/bger_6P.72_2004</w:t>
      </w:r>
    </w:p>
    <w:p>
      <w:r>
        <w:t>FR: TF 6P.72/2004 du 28 juin 2004</w:t>
      </w:r>
    </w:p>
    <w:p>
      <w:r>
        <w:t>IT: TF 6P.72/2004 del 28 giugno 2004</w:t>
      </w:r>
    </w:p>
    <w:p>
      <w:pPr>
        <w:pStyle w:val="Heading2"/>
      </w:pPr>
      <w:r>
        <w:t>Regeste</w:t>
      </w:r>
    </w:p>
    <w:p>
      <w:r>
        <w:t>Procédure</w:t>
      </w:r>
    </w:p>
    <w:p>
      <w:pPr>
        <w:pStyle w:val="Heading2"/>
      </w:pPr>
      <w:r>
        <w:t>Erwägungen</w:t>
      </w:r>
    </w:p>
    <w:p>
      <w:r>
        <w:rPr>
          <w:b/>
        </w:rPr>
        <w:t>E. 1</w:t>
      </w:r>
    </w:p>
    <w:p>
      <w:r>
        <w:t>Invoquant les art. 9 et 32 al. 1 Cst. , le recourant se plaint d'arbitraire dans l'appréciation des preuves et l'établissement des faits ainsi que de la violation de la présomption d'innocence. En effet, selon lui, la cour cantonale se serait fondée sur des éléments insuffisants pour retenir que le vol de la moto était fictif et, partant, le condamner pour induction de la justice en erreur et escroquerie.</w:t>
      </w:r>
    </w:p>
    <w:p>
      <w:r>
        <w:rPr>
          <w:b/>
        </w:rPr>
        <w:t>E. 1.1</w:t>
      </w:r>
    </w:p>
    <w:p>
      <w:r>
        <w:t>Dans le recours de droit public, le recourant peut se plaindre d'arbitraire dans l'établissement des faits pertinents pour le prononcé. Selon la jurisprudence, pour être arbitraire, une décision doit cependant violer gravement une règle de droit ou un principe juridique clair et indiscuté ou contredire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 La présomption d'innocence, garantie expressément par l' art. 6 ch. 2 CEDH et l' art. 32 al. 1 Cst. , et le principe "in dubio pro reo", qui en est le corollaire, concernent tant le fardeau de la preuve que l'appréciation des preuves. Dans la mesure où l'appréciation des preuves est critiquée en référence avec la présomption d'innocence, celle-ci n'a pas une portée plus large que l'interdiction de l'arbitraire. En tant qu'elle s'applique à la constatation des faits et à l'appréciation des preuves, la maxime "in dubio pro reo" est violée lorsque l'appréciation objective de l'ensemble des éléments de preuve laisse subsister un doute sérieux et insurmontable quant à la culpabilité de l'accusé ( ATF 124 IV 86 consid. 2a p. 87/88; 120 Ia 31 consid. 2e et 4b p. 38 et 40). Sa portée ne va pas, sous cet aspect, au-delà de l'interdiction de l'arbitraire ( ATF 120 Ia 31 consid. 2d p. 37/38).</w:t>
      </w:r>
    </w:p>
    <w:p>
      <w:r>
        <w:rPr>
          <w:b/>
        </w:rPr>
        <w:t>E. 1.2</w:t>
      </w:r>
    </w:p>
    <w:p>
      <w:r>
        <w:t>La cour cantonale a acquis la conviction que le recourant avait annoncé faussement à sa compagnie d'assurance que sa moto lui avait été volée à Munich. Dans son jugement, elle énumère en détails les indices qui, réunis de manière logique et objective, constituent le fondement de sa certitude. Il s'agit notamment des diverses circonstances du retour de Munich à Crissier, de l'état de la moto prétendument volée après une chute sur le circuit de Magny-Cours et de la remise d'une fausse clé pour répondre à la demande de l'assurance de recevoir les deux clés de la moto. Dans son argumentation, le recourant se contente de détacher les indices des uns des autres et de les critiquer un à un, en apportant sa propre appréciation des faits, mais il ne soulève aucune lacune ou contradiction permettant d'établir que l'appréciation de la cour cantonale serait arbitraire. Une telle argumentation est insuffisante pour réduire à néant la conviction de la cour cantonale. En effet, par définition, un indice n'établit la culpabilité de l'auteur qu'avec une certaine vraisemblance et peut, isolément, être interprété dans un sens contraire et laisser planer un doute (Hans Walder, Der Indizienbeweis im Strafprozess, RPS 108 (1991) p. 309; le même, Die Beweisführung in Strafsachen, insbesondere der Indizienbeweis, Zurich 1974/75 p. 49). Suivant la cour cantonale, il convient de constater en l'espèce que les divers indices relevés par le tribunal de première instance ne sont pas dénués de pertinence. Si certains peuvent parfois revêtir un rôle secondaire, ils permettent, pris ensemble, d'exclure tout doute sérieux sur le vol fictif de la moto. Mal fondés, les griefs du recourant doivent donc être rejetés.</w:t>
      </w:r>
    </w:p>
    <w:p>
      <w:r>
        <w:rPr>
          <w:b/>
        </w:rPr>
        <w:t>E. 2</w:t>
      </w:r>
    </w:p>
    <w:p>
      <w:r>
        <w:t>Au vu de ce qui précède, le recours de droit public doit être rejeté. Le recourant, qui succombe, devra supporter les frais ( art. 156 al. 1 OJ ). II. Pourvoi en nullité</w:t>
      </w:r>
    </w:p>
    <w:p>
      <w:r>
        <w:rPr>
          <w:b/>
        </w:rPr>
        <w:t>E. 3</w:t>
      </w:r>
    </w:p>
    <w:p>
      <w:r>
        <w:t>Le recourant conteste s'être rendu coupable de crime manqué d'escroquerie. Selon lui, la remise de deux clés non identiques à l'assurance ne constitue pas un comportement astucieux, preuve en est que ce stratagème a été découvert par l'assurance, qui a procédé à des investigations et n'a finalement versé aucune indemnité.</w:t>
      </w:r>
    </w:p>
    <w:p>
      <w:r>
        <w:rPr>
          <w:b/>
        </w:rPr>
        <w:t>E. 3.1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Tel est notamment le cas si l'auteur recourt à des manoeuvres frauduleuses, à une mise en scène comportant des documents ou des actes ou à un échafaudage de mensonges qui se recoupent de façon si raffinée que même une victime critique se laisserait tromper ( ATF 126 IV 165 consid. 2a p. 171). L'astuce sera également admise si l'auteur exploite un rapport de confiance préexistant qui dissuade la dupe de vérifier ( ATF 122 IV 246 consid. 3a p. 248) ou si la dupe n'a pas la possibilité de vérifier ou si des vérifications seraient trop difficiles et que l'auteur exploite cette situation ( ATF 125 IV 124 consid. 3a p. 127). La conséquence de la tromperie astucieuse doit être que la dupe, dans l'erreur, accomplit un acte préjudiciable à ses intérêts pécuniaires ou à ceux d'un tiers. Si la tromperie échoue, mais que le plan élaboré par l'auteur est objectivement astucieux, seule une tentative de tromperie astucieuse sera retenue ( ATF 128 IV 18 consid. 3b p. 21 s.). Sur le plan subjectif, l'auteur doit agir intentionnellement et dans le dessein de se procurer ou de procurer à un tiers un enrichissement illégitime.</w:t>
      </w:r>
    </w:p>
    <w:p>
      <w:r>
        <w:rPr>
          <w:b/>
        </w:rPr>
        <w:t>E. 3.2</w:t>
      </w:r>
    </w:p>
    <w:p>
      <w:r>
        <w:t>En l'espèce, il y a lieu d'admettre que le recourant a recouru à des manoeuvres frauduleuses propres à tromper la vigilance de l'assurance. En effet, il s'est rendu à Munich pour dénoncer le prétendu vol de sa moto à la police, puis, de retour en Suisse, il a déclaré le vol à son assurance, se référant à la plainte qu'il avait déposée en Allemagne. Le fait de déclarer faussement le vol de la moto à l'étranger rendait pour l'assurance toutes vérifications et investigations beaucoup plus difficiles, ce qui démontre une certaine ingéniosité de la part du recourant. Par la suite, alors que l'assurance lui demandait les clés de la moto qui lui avait été volée, le recourant a remis à l'assurance une clé qui était fausse. Le recourant soutient que son comportement ne serait pas astucieux, puisque l'assurance a découvert la supercherie et a renoncé à verser l'indemnité. Cet argument n'est pas pertinent. En effet, en dénonçant faussement le vol de sa moto à Munich, puis en adressant à son assurance une déclaration de sinistre, le recourant réalise déjà une tromperie astucieuse. La remise d'une fausse clé à l'assurance, qui a permis à cette dernière de découvrir la supercherie, ne change rien à cette qualification. Le fait que l'assurance s'est rendu compte de la tromperie a pour seule conséquence que le recourant ne répond pas d'une escroquerie consommée, mais seulement d'un délit manqué d'escroquerie. En appliquant les art. 22 al. 1 et 146 CP au cas du recourant, la cour cantonale n'a donc pas violé le droit fédéral. Infondés, les griefs du recourant doivent être rejetés.</w:t>
      </w:r>
    </w:p>
    <w:p>
      <w:r>
        <w:rPr>
          <w:b/>
        </w:rPr>
        <w:t>E. 4</w:t>
      </w:r>
    </w:p>
    <w:p>
      <w:r>
        <w:t>En conséquence, le pourvoi doit être rejeté. Succombant, le recourant doit supporter les frais judiciaires ( art. 278 al. 1 PPF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