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6P.6/2007 vom 4. Mai 2007</w:t>
      </w:r>
    </w:p>
    <w:p>
      <w:r>
        <w:t>Bundesgericht, 2007-05-04, FR</w:t>
      </w:r>
    </w:p>
    <w:p>
      <w:r>
        <w:rPr>
          <w:b/>
        </w:rPr>
        <w:t xml:space="preserve">Quelle: </w:t>
      </w:r>
      <w:r>
        <w:t>https://mcp.opencaselaw.ch/entscheid/bger_6P.6_2007</w:t>
      </w:r>
    </w:p>
    <w:p>
      <w:r>
        <w:t>FR: TF 6P.6/2007 du 4 mai 2007</w:t>
      </w:r>
    </w:p>
    <w:p>
      <w:r>
        <w:t>IT: TF 6P.6/2007 del 4 maggio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soit celui qui était en vigueur au moment où elle a statué ( ATF 129 IV 49 consid. 5.3 p. 51 s. et les arrêts cités).</w:t>
      </w:r>
    </w:p>
    <w:p>
      <w:r>
        <w:t>II.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w:t>
      </w:r>
    </w:p>
    <w:p>
      <w:r>
        <w:t>Dans un recours pour arbitraire fondé sur l' art. 9 Cst. , le justiciable ne peut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w:t>
      </w:r>
    </w:p>
    <w:p>
      <w:r>
        <w:rPr>
          <w:b/>
        </w:rPr>
        <w:t>E. 3</w:t>
      </w:r>
    </w:p>
    <w:p>
      <w:r>
        <w:t>Le recourant soutient que l'état de fait cantonal a été établi de manière arbitraire sur plusieurs points ( art. 9 Cst. ). En relation avec l'appréciation arbitraire des preuves, il dénonce également la violation de la présomption d'innocence ( art. 32 al. 1 Cst. ).</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A cet égard, il ne suffit pas non plus qu'une solution différente de celle retenue par l'autorité cantonale apparaisse également concevable ou même préférable ( ATF 128 II 259 consid. 5 p. 280; 127 I 54 consid. 2b p. 56).</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3.2</w:t>
      </w:r>
    </w:p>
    <w:p>
      <w:r>
        <w:t>Consacrée par l' art. 32 al. 1 Cst. ,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w:t>
      </w:r>
    </w:p>
    <w:p>
      <w:r>
        <w:t>La présomption d'innocence et le principe "in dubio pro reo", qui en est le corollaire, sont des garanties de rang constitutionnel, dont la violation ne peut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rPr>
          <w:b/>
        </w:rPr>
        <w:t>E. 4.1</w:t>
      </w:r>
    </w:p>
    <w:p>
      <w:r>
        <w:t>En relation avec sa condamnation pour infraction à l' art. 20 ch. 1 al. 3 LStup , le recourant soutient que la cour cantonale serait tombée dans l'arbitraire en retenant qu'il avait prescrit des doses de Dormicum excédant la mesure admise par la science médicale. Il affirme que les quantités retenues ne correspondraient pas aux quantités prescrites dans la mesure où le pharmacien coaccusé aurait falsifié les ordonnances en modifiant les quantités sur les ordonnances établies et les auraient renouvelées sans son autorisation. Cela aurait été le cas aussi bien pour des ordonnances sur des anabolisants et des hormones de croissance que pour du Dormicum destiné au patient A.________.</w:t>
      </w:r>
    </w:p>
    <w:p>
      <w:r>
        <w:t>Il n'est pas contesté que des ordonnances ont pu être falsifiées mais il s'agissait uniquement de celles portant sur des produits dopants (cf. notamment jugement de première instance p. 27). Par ailleurs les juges cantonaux ont admis en sus, au bénéfice du doute, que certaines ordonnances de Dormicum destinées au seul A.________ ont pu être modifiées. Toutefois, compte tenu de l'importance des quantités prescrites aux autres toxicomanes, la cour cantonale a retenu que, même en cas de falsification d'ordonnances à l'attention de A.________, le recourant avait prescrit des quantités de Dormicum largement supérieures à celles qui étaient admissibles. Pour le surplus, l'inspecteur de police, dont le recourant invoque le témoignage, a affirmé que l'on ne pouvait exclure que les ordonnances originales aient été modifiées - ce qui a été retenu par l'autorité cantonale -, mais il n'a pas déclaré qu'elles l'avaient effectivement été. Au vu de ces éléments, la conclusion de la cour cantonale, selon laquelle le recourant a prescrit des quantités importantes de Dormicum et que les ordonnances n'ont pas été falsifiées (ou l'avaient été seulement dans une faible mesure), n'est pas entachée d'arbitraire. Mal fondé, le grief soulevé doit donc être rejeté.</w:t>
      </w:r>
    </w:p>
    <w:p>
      <w:r>
        <w:rPr>
          <w:b/>
        </w:rPr>
        <w:t>E. 4.2</w:t>
      </w:r>
    </w:p>
    <w:p>
      <w:r>
        <w:t>Pour le recourant, la cour cantonale se serait référée à tort aux quantités recommandées par le Compendium des médicaments suisses, à savoir à celles utilisées en cas d'insomnie, alors que les doses prescrites aux toxicomanes en vue de leur sevrage seraient largement supérieures. A son avis, le Compendium ne constitue pas la "mesure admise par la science" au sens de l' art. 11 LStup . Pour soutenir son argumentation, il se réfère aux déclarations du pharmacien cantonal, qui atteste qu'un toxicomane peut avaler quotidiennement jusqu'à 30 comprimés de Rohypnol. Il cite également le témoignage d'un inspecteur de police, selon lequel un polytoxicomane peut prendre, à sa connaissance, jusqu'à 30 comprimés de 15 mg par jour. Enfin, il produit des ordonnances établies par les Hôpitaux Universitaires de Genève à destination de toxicomanes.</w:t>
      </w:r>
    </w:p>
    <w:p>
      <w:r>
        <w:t>Savoir si les quantités prescrites dépassent la "mesure admise par la science" ( art. 11 LStup ) est une question qui relève de l'application du droit fédéral. Un tel grief n'est pas recevable dans le recours de droit public. Soulevé également dans le pourvoi, il sera examiné plus loin (cf. consid. 7.2).</w:t>
      </w:r>
    </w:p>
    <w:p>
      <w:r>
        <w:rPr>
          <w:b/>
        </w:rPr>
        <w:t>E. 4.3</w:t>
      </w:r>
    </w:p>
    <w:p>
      <w:r>
        <w:t>En ce qui concerne sa condamnation pour infraction à l'art. 11 f LGS, le recourant plaide l'erreur de droit ( art. 20 CP ). Il qualifie d'arbitraire la constatation de fait, selon laquelle il ne pouvait pas ignorer que la prescription de produits dopants à des fins de culturisme était interdite. A l'appui de sa thèse, il se réfère à une étude, mise en place par Serono, pour une hormone de croissance humaine destinée aux patients HIV, ayant perdu de leur masse musculaire. Il mentionne un certain nombre de sites Internet permettant d'obtenir des produits dopants et des hormones de croissance. Enfin, il cite le médecin cantonal, qui aurait affirmé que les produits dopants pouvaient être prescrits pour des sportifs de haut niveau par les médecins du sport. Selon le recourant, ces éléments attesteraient de l'ignorance générale qui règne en ce domaine.</w:t>
      </w:r>
    </w:p>
    <w:p>
      <w:r>
        <w:t>L'admissibilité de l'erreur de droit est subordonnée à la double condition que l'auteur se soit cru en droit d'agir (question de fait) et qu'il ait eu des raisons suffisantes d'admettre qu'il ne faisait rien d'illicite (question de droit; ATF 75 IV 150 consid. 3 p. 152). Comme on le verra à propos du pourvoi (consid. 8.2), le recourant, en tant que médecin, devait éclaircir la situation juridique et n'avait dès lors pas de raisons suffisantes d'admettre agir conformément au droit. Comme cette seconde condition n'est pas réalisée, l'erreur de droit est de toute façon exclue, sans qu'il soit nécessaire d'examiner si le recourant s'est cru en droit d'agir. Le grief soulevé n'est donc pas pertinent.</w:t>
      </w:r>
    </w:p>
    <w:p>
      <w:r>
        <w:rPr>
          <w:b/>
        </w:rPr>
        <w:t>E. 4.4</w:t>
      </w:r>
    </w:p>
    <w:p>
      <w:r>
        <w:t>Le recourant fait encore valoir, en relation avec sa condamnation pour faux dans les titres, que Z.________ lui aurait indiqué en mai 2002 que son nom était W.________-Z.________, de sorte que la cour cantonale serait tombée dans l'arbitraire en lui reprochant d'avoir continué à établir des ordonnances au nom de W.________ après mai 2002.</w:t>
      </w:r>
    </w:p>
    <w:p>
      <w:r>
        <w:t>Comme on le verra plus loin, la question du nom du destinataire de l'ordonnance ne joue pas de rôle en l'espèce pour déterminer si le recourant s'est ou non rendu coupable de faux dans les titres (cf. consid. 9.2). Non pertinent, le grief soulevé doit donc être rejeté.</w:t>
      </w:r>
    </w:p>
    <w:p>
      <w:r>
        <w:rPr>
          <w:b/>
        </w:rPr>
        <w:t>E. 4.5</w:t>
      </w:r>
    </w:p>
    <w:p>
      <w:r>
        <w:t>Enfin le recourant soutient, en relation avec sa condamnation pour complicité d'escroquerie, qu'il est arbitraire d'avoir retenu qu'il pouvait envisager la possibilité que son patient utiliserait les ordonnances pour des produits dopants pour tenter de se faire rembourser ces produits par une assurance. Pour soutenir sa thèse, il se réfère à un échange de courriers avec deux compagnies d'assurances, dans lesquels il indiquerait clairement que cette prescription n'avait pas de visée thérapeutique.</w:t>
      </w:r>
    </w:p>
    <w:p>
      <w:r>
        <w:t>La cour cantonale a constaté que, du moment que le recourant avait établi des ordonnances en faveur de son patient Z.________ pour lui permettre d'obtenir des produits dopants, il devait envisager que celui-ci les utilise non seulement pour obtenir la délivrance de ces produits de la part du pharmacien, mais aussi pour en obtenir le remboursement auprès de l'assurance. Ce raisonnement échappe à toute critique d'arbitraire. L'échange de courrier - que le recourant invoque pour se disculper - ne lui est d'aucun secours, dès lors qu'il n'y fait que répondre à la demande de renseignements complémentaires de l'assurance qui est déjà confrontée à la demande de remboursement des prestations. Mal fondé, le grief soulevé doit être rejeté.</w:t>
      </w:r>
    </w:p>
    <w:p>
      <w:r>
        <w:rPr>
          <w:b/>
        </w:rPr>
        <w:t>E. 5</w:t>
      </w:r>
    </w:p>
    <w:p>
      <w:r>
        <w:t>Dans la mesure où il est recevable, le recours de droit public est rejeté. Le recourant, qui succombe, doit supporter les frais ( art. 156 al. 1 OJ ).</w:t>
      </w:r>
    </w:p>
    <w:p>
      <w:r>
        <w:t>III. Pourvoi en nullité</w:t>
      </w:r>
    </w:p>
    <w:p>
      <w:r>
        <w:rPr>
          <w:b/>
        </w:rPr>
        <w:t>E. 6</w:t>
      </w:r>
    </w:p>
    <w:p>
      <w:r>
        <w:t>Le pourvoi en nullité n'est recevable que pour violation du droit fédéral ( art. 269 PPF ), et la Cour de cassation est liée par les constatations de fait de l'autorité précédente ( art. 277bis al. 1 PPF ) dont elle ne saurait s'écarter. La Cour de cassation ne pouvant dès lors examiner l'application du droit fédéral que sur la base de l'état de fait retenu par l'autorité précédente, le recourant doit mener son raisonnement juridique sur cette seule base et ne peut se fonder sur une version des faits différente. Dans la mesure où son argumentation s'écarte des faits constatés par l'autorité précédente, il n'en est pas tenu compte; si son argumentation est entièrement ou pour l'essentiel fondée sur un autre état de fait, le grief est irrecevable ( ATF 126 IV 65 consid. 1 p. 66 s.).</w:t>
      </w:r>
    </w:p>
    <w:p>
      <w:r>
        <w:rPr>
          <w:b/>
        </w:rPr>
        <w:t>E. 7</w:t>
      </w:r>
    </w:p>
    <w:p>
      <w:r>
        <w:t>Selon l' art. 20 ch. 1 al. 3 LStup , le médecin qui emploie, dispense ou prescrit des stupéfiants en dehors des cas que prévoit l'art. 11 est passible, s'il a agi intentionnellement, de l'emprisonnement ou de l'amende. Dans les cas graves, la peine sera la réclusion qui pourra être cumulée avec une amende jusqu'à concurrence de 500'000 francs. L' art. 11 LStup prévoit que les médecins sont tenus de n'employer, de dispenser ou de prescrire les stupéfiants que dans la mesure admise par la science.</w:t>
      </w:r>
    </w:p>
    <w:p>
      <w:r>
        <w:t>Condamné pour infraction à l' art. 20 ch. 1 al. 3 LStup , le recourant conteste que cette disposition soit applicable. En premier lieu, il fait valoir que les quantités de Dormicum qu'il a prescrites sont conformes à la mesure admise par la science, dès lors que ses patients étaient des toxicomanes en cure de sevrage. En outre, il soutient que le cas grave ne saurait être retenu.</w:t>
      </w:r>
    </w:p>
    <w:p>
      <w:r>
        <w:rPr>
          <w:b/>
        </w:rPr>
        <w:t>E. 7.1</w:t>
      </w:r>
    </w:p>
    <w:p>
      <w:r>
        <w:t>Sont assimilés aux stupéfiants au sens de la LStup les substances psychotropes engendrant la dépendance, à savoir les dépresseurs centraux ayant des effets du type barbiturique ou benzodiazépinique ( art. 1 al. 3 let . c LStup). L'Institut suisse des produits thérapeutiques a dressé la liste des substances et des préparations au sens de l' art. 1 al. 2 et 3 LStup et a précisé dans son ordonnance que le midazolam est un stupéfiant (appendice b de l'ordonnance de l'Institut suisse des produits thérapeutiques du 12 décembre 1996 sur les stupéfiants et les substances psychotropes; OStup-Swissmedic, RS 812.121.2). Il n'est donc pas contesté que le Dormicum, dont le principe actif est le midazolam, à savoir une benzodiazépine, est un stupéfiant.</w:t>
      </w:r>
    </w:p>
    <w:p>
      <w:r>
        <w:rPr>
          <w:b/>
        </w:rPr>
        <w:t>E. 7.2</w:t>
      </w:r>
    </w:p>
    <w:p>
      <w:r>
        <w:t>Selon l' art. 11 Lstup , le médecin ne peut prescrire des stupéfiants que « dans la mesure admise par la science ». La prescription de telles substances est interdite si elle n'est pas indiquée sur le plan médical ou si - en cas d'indication thérapeutique - les doses prescrites sont trop élevées (Albrecht, Kommentar zum schweizerischen Strafrecht, Sonderband Betäubungsmittelstrafrecht, Berne 1995, art. 20, n. 12). Pour déterminer si et dans quelle mesure la prescription de stupéfiants est utile, le juge ne peut pas se fonder uniquement sur la médecine officielle ou sur les directives étatiques (arrêt non publié du Tribunal fédéral du 20 octobre 1987, in: Plädoyer 1/1998, p. 32), mais doit examiner si, au vu des circonstances concrètes, la prescription de la substance en question se justifie sur le plan médical. En d'autres termes, le médecin prescripteur doit arriver à la conviction, sur la base d'un examen médical, que l'emploi d'un stupéfiant est non seulement permis mais encore requis, c'est-à-dire que celui-ci est indiqué pour soigner et soulager le patient et que celui-ci ne peut être traité d'une manière moins dangereuse (Fingerhuth/Tschurr, BetmG, Kommentar, Betäubungsmittelgesetz, Zurich 2007, art. 20, n. 11).</w:t>
      </w:r>
    </w:p>
    <w:p>
      <w:r>
        <w:t>Selon le Compendium, le médecin peut prescrire des Dormicum à des fins soporifiques, pour une courte durée, à raison d'un comprimé de 7,5 mg ou 15 mg par jour. Selon les Directives du médecin cantonal genevois datant de mars 2002 adressées aux médecins, les benzodiazépines peuvent toutefois aussi servir au traitement de personnes dépendantes et les doses prévues par le Compendium peuvent alors être dépassées. Dans ce cas, le médecin doit requérir une autorisation spéciale du médecin cantonal et un plan de sevrage est nécessaire. Les demandes concernent en général le doublement des doses, à savoir 30 mg par jour.</w:t>
      </w:r>
    </w:p>
    <w:p>
      <w:r>
        <w:t>En l'occurrence, le recourant a prescrit jusqu'à 4 à 5 comprimés par jour et ce pendant plus de deux ans, de sorte qu'il a largement dépassé les quantités prévues par le Compendium. C'est en vain qu'il fait savoir qu'il a dispensé ces médicaments en vue de sevrage progressif de ses patients toxicomanes. En effet, il n'a requis aucune autorisation, n'a mis sur pied aucun plan de sevrage et, au vu des quantités prescrites, ne maîtrisait manifestement pas la quantité des stupéfiants qu'il faisait remettre à ses patients. Preuve en est qu'il lui arrivait de ratifier a posteriori les avances de Dormicum faites par le pharmacien et que selon les témoignages de plusieurs toxicomanes, il était connu pour prescrire facilement d'importantes quantités de Dormicum de 15 mg. Les conditions pour prescrire des Dormicum à des personnes dépendantes en vue de leur sevrage ne sont donc manifestement pas réalisées. La cour cantonale n'a dès lors pas violé le droit fédéral en admettant que les quantités prescrites par le recourant dépassaient largement les quantités admises par la science. Mal fondé, le grief du recourant doit être rejeté.</w:t>
      </w:r>
    </w:p>
    <w:p>
      <w:r>
        <w:rPr>
          <w:b/>
        </w:rPr>
        <w:t>E. 7.3</w:t>
      </w:r>
    </w:p>
    <w:p>
      <w:r>
        <w:t>Le recourant soutient que la cour cantonale a violé le droit fédéral en retenant à son encontre une infraction grave à la LStup.</w:t>
      </w:r>
    </w:p>
    <w:p>
      <w:r>
        <w:t>Dans son arrêt, la cour cantonale a confirmé le jugement de première instance concernant la condamnation pour infraction à l' art. 20 ch. 1 al. 3 LStup (arrêt attaqué p. 25). Or, contrairement au cas du pharmacien coaccusé, les premiers juges n'ont pas retenu le cas grave à l'encontre du recourant. Ils l'ont acquitté sur ce point, considérant qu'il y avait un doute sur la réalisation des conditions tant objectives que subjectives (jugement p. 25 let. c). Lorsque la cour cantonale mentionne, à la page 2 de son arrêt, que le tribunal de police a reconnu le recourant coupable d'infractions graves à la LStup (art. 20 ch. 1 al. 3), elle commet donc une erreur, qui constitue une inadvertance manifeste selon l' art. 277bis PPF . Comme le recourant n'a pas été condamné pour infraction grave à la Lstup, le grief soulevé doit être rejeté.</w:t>
      </w:r>
    </w:p>
    <w:p>
      <w:r>
        <w:rPr>
          <w:b/>
        </w:rPr>
        <w:t>E. 8</w:t>
      </w:r>
    </w:p>
    <w:p>
      <w:r>
        <w:t>Condamné pour avoir prescrit des produits dopants à des fins de culturisme en application de l'art. 11 f LGS, le recourant plaide l'erreur de droit ( art. 20 CP ), faisant valoir qu'il croyait que cette prescription était licite s'agissant des sportifs amateurs.</w:t>
      </w:r>
    </w:p>
    <w:p>
      <w:r>
        <w:rPr>
          <w:b/>
        </w:rPr>
        <w:t>E. 8.1</w:t>
      </w:r>
    </w:p>
    <w:p>
      <w:r>
        <w:t>A teneur de l' art. 20 CP , le juge peut atténuer librement la peine ou y renoncer, voire prononcer un acquittement ( ATF 120 IV 313 ), lorsque le prévenu a commis un crime ou un délit alors qu'il avait des raisons suffisantes de se croire en droit d'agir. Pour qu'il y ait erreur de droit, il faut donc que l'auteur ait agi en se croyant en droit de le faire; la question relève du fait, de sorte qu'elle est soustraite à l'examen du Tribunal fédéral ( art. 277bis al. 1 PPF ). Si cette condition est réalisée, il faut encore que l'auteur ait eu "des raisons suffisantes" de se croire en droit d'agir; il s'agit d'une question de droit que le Tribunal fédéral examine donc librement ( art. 277bis al. 2 PPF ; ATF 75 IV 150 consid. 3 p. 152).</w:t>
      </w:r>
    </w:p>
    <w:p>
      <w:r>
        <w:t>Une raison de se croire en droit d'agir est suffisante lorsqu'aucun reproche ne peut être adressé à l'auteur du fait de son erreur parce qu'elle provient de circonstances qui auraient pu induire en erreur tout homme consciencieux ( ATF 98 IV 293 consid. 4a p. 303). L'erreur de droit, qui est admise de manière restrictive, est fondée sur l'idée que le justiciable doit s'efforcer de prendre connaissance de la loi et que son ignorance ne lui permet de s'exculper que dans des cas exceptionnels ( ATF 129 IV 238 consid. 3.1 p. 241). L'ignorance de la loi ne constitue donc en principe pas une raison suffisante et il appartient à celui qui se trouve face à une situation juridique qu'il ne maîtrise pas de prendre les renseignements nécessaires ( ATF 128 IV 201 consid. 2 p. 210).</w:t>
      </w:r>
    </w:p>
    <w:p>
      <w:r>
        <w:rPr>
          <w:b/>
        </w:rPr>
        <w:t>E. 8.2</w:t>
      </w:r>
    </w:p>
    <w:p>
      <w:r>
        <w:t>En l'espèce, la cour cantonale a retenu qu'"en tant que professionnel de la santé, le [recourant] ne pouvait pas ignorer que la prescription de produits dopants à des fins de culturisme était interdite", ajoutant que "s'il avait des doutes, il aurait dû se renseigner auprès du Médecin cantonal. En outre, dans la mesure où il devait suivre une formation continue de deux jours par année, il était censé connaître cette interdiction" (arrêt attaqué p. 27 in fine).</w:t>
      </w:r>
    </w:p>
    <w:p>
      <w:r>
        <w:t>Par cette motivation, la cour cantonale ne s'est pas prononcée clairement sur la première condition de l'erreur de droit, à savoir sur le point de savoir si le recourant se croyait en droit d'agir, puisqu'elle s'est contentée de déclarer que le recourant "ne pouvait pas ignorer" la législation relative au dopage. Cette question peut toutefois être laissée ouverte, dans la mesure où, de toute façon, le recourant n'avait pas de raisons suffisantes de se croire en droit d'agir. En effet, le médecin qui prescrit des produits dopants sans clarifier au préalable la situation juridique n'a pas de raisons suffisantes d'admettre qu'il ne commet pas un acte contraire au droit. Comme le retient à juste titre la cour cantonale, le recourant devait en tant que professionnel de la santé suivre une formation continue et le cas échéant se renseigner auprès du médecin cantonal. Le fait que les produits dopants peuvent être obtenus par internet et que tous les laïcs ne sont pas conscients que ces produits sont illicites n'y change évidemment rien. Mal fondé, le grief soulevé doit être rejeté.</w:t>
      </w:r>
    </w:p>
    <w:p>
      <w:r>
        <w:rPr>
          <w:b/>
        </w:rPr>
        <w:t>E. 9</w:t>
      </w:r>
    </w:p>
    <w:p>
      <w:r>
        <w:t>La cour cantonale a condamné le recourant pour avoir établi de fausses ordonnances libellées au nom de W.________ et les avoir remises à Z.________ qui était pourtant une seule et même personne. Le recourant conteste cette condamnation, faisant valoir qu'une ordonnance n'est pas censée établir l'identité de son destinataire.</w:t>
      </w:r>
    </w:p>
    <w:p>
      <w:r>
        <w:rPr>
          <w:b/>
        </w:rPr>
        <w:t>E. 9.1</w:t>
      </w:r>
    </w:p>
    <w:p>
      <w:r>
        <w:t>L' 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w:t>
      </w:r>
    </w:p>
    <w:p>
      <w:r>
        <w:t>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 ATF 126 IV 65 consid. 2a p. 67 s., 125 IV 273 consid. 3a p. 276 ss).</w:t>
      </w:r>
    </w:p>
    <w:p>
      <w:r>
        <w:rPr>
          <w:b/>
        </w:rPr>
        <w:t>E. 9.2</w:t>
      </w:r>
    </w:p>
    <w:p>
      <w:r>
        <w:t>Selon l' art. 25 LAMal , l'assurance obligatoire des soins prend en charge les coûts des prestations qui servent à diagnostiquer ou à traiter une maladie et ses séquelles. Ces prestations comprennent notamment les médicaments prescrits par un médecin. Sur la base d'une ordonnance établie par ce dernier, le patient pourra ainsi obtenir le remboursement des médicaments prescrits qui figurent sur la liste des spécialités ( art. 52 al. 1 LAMal ; système du tiers garant, cf. art. 42 al. 1 LAMal ). Dans ce système, l'ordonnance établit bien que les médicaments ont été prescrits à des fins thérapeutiques. Si, avant de prendre en charge ces prestations, l'assureur procède à un certain contrôle des ordonnances, en particulier afin de veiller à garantir le caractère économique des prestations ( art. 56 LAMal ), la vérification restera cependant limitée, dès lors qu'il se fie en principe aux indications du médecin traitant et que son médecin conseil, qui joue un rôle limité, n'a pas examiné le patient. A l'instar de la feuille maladie ( ATF 103 IV 178 ), l'ordonnance est donc propre à établir, vis-à-vis de l'assurance maladie, l'exactitude des indications qui y figurent et tout particulièrement que le médicament a été prescrit dans un but thérapeutique.</w:t>
      </w:r>
    </w:p>
    <w:p>
      <w:r>
        <w:t>Lorsque le médicament ne peut être délivré que sur ordonnance médicale (art. 23 et 24 de l'ordonnance du 17 octobre 2001 sur les médicaments; OMéd., RS 812.212.21), celle-ci sera également une condition de remise des médicaments. Elle permettra au patient d'obtenir auprès d'un pharmacien le médicament indiqué et indirectement certifiera que celui-ci en a besoin pour le traitement d'une maladie ou d'un trouble dans sa santé. Le pharmacien doit pouvoir se fier à l'ordonnance, dans la mesure où elle est établie par un médecin, qui a seul examiné le patient. Son contrôle ne portera que sur la posologie, le pharmacien étant au demeurant dans l'incapacité de vérifier le diagnostic du médecin qui ne figure pas sur l'ordonnance.</w:t>
      </w:r>
    </w:p>
    <w:p>
      <w:r>
        <w:t>En raison de la position particulière du médecin et du pouvoir de vérification limité du pharmacien et de l'assurance-maladie, l'ordonnance revêt une valeur probante accrue dans tous ces cas.</w:t>
      </w:r>
    </w:p>
    <w:p>
      <w:r>
        <w:rPr>
          <w:b/>
        </w:rPr>
        <w:t>E. 9.3</w:t>
      </w:r>
    </w:p>
    <w:p>
      <w:r>
        <w:t>En l'espèce, l'Andriol, le Testoviron, le Genotropin, le Nordotropin Simplex et le Deca Durobolin, que le recourant a prescrit à ses patients à des fins de culturisme, ne sont pas uniquement des produits dopants, mais aussi des médicaments qui sont prescrits pour certaines thérapies et dont la délivrance est soumise à ordonnance. En établissant des ordonnances portant sur ces produits, le recourant a indirectement certifié que les produits en cause devaient servir à un but thérapeutique, permettant ainsi à ses patients non seulement d'obtenir ces médicaments auprès du pharmacien mais aussi de se faire rembourser le prix auprès de son assurance. Les ordonnances établies par le recourant revêtent donc une valeur probante accrue et doivent en conséquence être considérées comme des faux intellectuels. Par substitution de motifs, la cour cantonale n'a donc pas violé le droit fédéral en condamnant le recourant pour faux dans les titres.</w:t>
      </w:r>
    </w:p>
    <w:p>
      <w:r>
        <w:rPr>
          <w:b/>
        </w:rPr>
        <w:t>E. 10</w:t>
      </w:r>
    </w:p>
    <w:p>
      <w:r>
        <w:t>La cour cantonale a reconnu le recourant coupable de complicité de délit manqué d'escroquerie pour avoir établi des ordonnances portant sur les produits stéroïdes et anabolisants libellées au nom de W.________ (alias Z.________) et devant permettre à ce dernier d'en obtenir le remboursement auprès de son assurance. Le recourant conteste que l'élément subjectif de l'infraction d'escroquerie soit réalisé.</w:t>
      </w:r>
    </w:p>
    <w:p>
      <w:r>
        <w:t>Savoir ce que l'auteur voulait, savait ou ce dont il s'accommodait relève du contenu de la pensée, donc de l'établissement des faits, lesquels ne peuvent être revus dans le cadre d'un pourvoi en nullité ( art. 273 al. 1 let. b, art. 277bis PPF ; ATF 125 IV 242 consid. 3c p. 252; 119 IV 1 consid. 5a p. 3). En l'occurrence, la cour cantonale a retenu - sans arbitraire et de manière à lier la cour de céans - que le recourant pouvait envisager la possibilité que son patient utiliserait les ordonnances pour tenter de se faire rembourser par son assurance les produits prescrits (arrêt attaqué p. 34). Comme il s'est accommodé du résultat possible, le dol éventuel est réalisé. Lorsque le recourant prétend qu'il n'a pas envisagé ni accepté de participer à une escroquerie, il s'écarte de l'état de fait cantonal, et son grief doit être déclaré irrecevable.</w:t>
      </w:r>
    </w:p>
    <w:p>
      <w:r>
        <w:rPr>
          <w:b/>
        </w:rPr>
        <w:t>E. 11</w:t>
      </w:r>
    </w:p>
    <w:p>
      <w:r>
        <w:t>Condamné à huit mois fermes d'emprisonnement, le recourant se plaint de la sévérité de sa peine.</w:t>
      </w:r>
    </w:p>
    <w:p>
      <w:r>
        <w:rPr>
          <w:b/>
        </w:rPr>
        <w:t>E. 11.1</w:t>
      </w:r>
    </w:p>
    <w:p>
      <w:r>
        <w:t>Selon l' art. 63 CP ,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n'admettra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11.2</w:t>
      </w:r>
    </w:p>
    <w:p>
      <w:r>
        <w:t>En l'espèce, la cour cantonale a considéré que la faute du recourant était grave en raison de sa qualité de professionnel de la santé et de la longue période pendant laquelle a duré son activité délictueuse. Elle a relevé que le recourant avait peu collaboré à l'instruction, se posant en victime du pharmacien coaccusé et refusant d'assumer ses erreurs. Elle a mentionné ses antécédents (suspension du droit de pratiquer pour distribution de méthadone à des toxicomanes sans autorisation; quatre mois et vingt-cinq jours d'emprisonnement pour détournement de valeurs patrimoniales mises sous main de justice et délit contre la LAVS; amende de 5000 francs pour violation de l' art. 19 al. 1 LStup ; vingt jours d'arrêts, avec sursis durant un an, pour contravention LPP; quatorze jours d'emprisonnement pour détournement de valeurs patrimoniales mises sous main de justice). Enfin, elle a retenu que le recourant n'avait retiré aucun profit de son comportement et qu'il avait cédé à une certaine faiblesse.</w:t>
      </w:r>
    </w:p>
    <w:p>
      <w:r>
        <w:rPr>
          <w:b/>
        </w:rPr>
        <w:t>E. 11.3</w:t>
      </w:r>
    </w:p>
    <w:p>
      <w:r>
        <w:t>Le recourant soutient d'abord que la cour cantonale ne saurait lui reprocher de ne pas reconnaître des infractions qu'il estime ne pas avoir commises.</w:t>
      </w:r>
    </w:p>
    <w:p>
      <w:r>
        <w:t>Pour fixer la peine, le juge doit tenir compte de la situation personnelle du délinquant. Selon la jurisprudence, pour apprécier la situation personnelle, il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 ATF 118 IV 21 consid. 2b p. 25; cf. aussi arrêt non publié du 11 mai 1995 du Tribunal fédéral 6S.686/1994; ATF 113 IV 56 consid. 4c p. 57; Wiprächtiger, Basler Kommentar, Strafgesetzbuch I, 2003, art. 63, n. 109). Au vu de cette jurisprudence, la cour cantonale n'a pas violé le droit fédéral en constatant que le recourant avait peu collaboré à l'instruction, qu'il s'était contenté de se poser en victime et qu'il avait refusé d'assumer ses erreurs. Mal fondé, le grief soulevé doit être rejeté.</w:t>
      </w:r>
    </w:p>
    <w:p>
      <w:r>
        <w:t>Le recourant fait valoir en vain que les faits semblables pour lesquels il a déjà été condamné (distribution de méthadone à des toxicomanes sans autorisation préalable du médecin cantonal) remontent à plus de dix ans et que ses condamnations plus récentes concernent des infractions dans le droit de la poursuite. Pour fixer la peine, le juge doit prendre en considération les antécédents de l'accusé, à savoir notamment les condamnations précédentes. Celles-ci peuvent concerner d'autres infractions que celles pour lesquelles le recourant est condamné, dans la mesure où elles montrent un certain mépris face aux lois. Une condamnation ancienne peut également jouer un rôle aggravant dans la fixation de la peine, même si cela n'est que dans une mesure restreinte ( ATF 123 IV 49 consid. 2d p. 52). Dès lors, la cour cantonale n'a pas violé le droit fédéral en tenant compte des mauvais antécédents du recourant. Infondé, le grief doit être rejeté.</w:t>
      </w:r>
    </w:p>
    <w:p>
      <w:r>
        <w:t>Enfin, le recourant fait observer qu'il est déjà gravement puni par la suspension de son autorisation de pratiquer, prononcée par le médecin cantonal. Il est vrai que le juge peut tenir compte des sanctions extra pénales (Wiprächtiger, op. cit. art. 63, n. 101). En l'espèce, la cour cantonale a constaté, dans l'état de fait, que le médecin cantonal avait prononcé provisoirement la suspension de son autorisation et que le recourant avait fait recours au Tribunal administratif qui avait suspendu la procédure jusqu'à droit connu des faits résultant de la procédure pénale (arrêt attaqué p. 19). Cette sanction n'étant que provisoire, la cour cantonale pouvait ne pas en tenir compte lors de la fixation de la peine. Mal fondé, le grief soulevé doit être rejeté.</w:t>
      </w:r>
    </w:p>
    <w:p>
      <w:r>
        <w:rPr>
          <w:b/>
        </w:rPr>
        <w:t>E. 11.4</w:t>
      </w:r>
    </w:p>
    <w:p>
      <w:r>
        <w:t>En conclusion, la peine de huit mois d'emprisonnement n'apparaît pas, au vu des circonstances, sévère à un point tel qu'il faille conclure à un abus du large pouvoir d'appréciation accordé à la cour cantonale. Cette dernière a motivé de manière détaillée et complète la peine, et le recourant n'invoque aucun élément, propre à modifier la peine, qu'elle aurait omis ou pris en considération à tort. Le grief de violation de l' art. 63 CP est dès lors infondé.</w:t>
      </w:r>
    </w:p>
    <w:p>
      <w:r>
        <w:rPr>
          <w:b/>
        </w:rPr>
        <w:t>E. 12</w:t>
      </w:r>
    </w:p>
    <w:p>
      <w:r>
        <w:t>Enfin, le recourant se plaint de ce que le sursis ne lui a pas été accordé.</w:t>
      </w:r>
    </w:p>
    <w:p>
      <w:r>
        <w:rPr>
          <w:b/>
        </w:rPr>
        <w:t>E. 12.1</w:t>
      </w:r>
    </w:p>
    <w:p>
      <w:r>
        <w:t>Cette question semble ne pas avoir été soulevée devant l'instance cantonale de recours (arrêt attaqué p. 36). Quoi qu'il en soit, lorsque, comme c'est le cas de l'appel en procédure pénale genevoise (Bernhard Sträuli, Pourvoi en nullité et recours de droit public au Tribunal fédéral, thèse Genève 1995, p. 80 no 194), l'autorité cantonale de dernière instance doit appliquer le droit d'office, la partie n'est pas obligée d'attirer l'attention sur le problème invoqué ensuite devant le Tribunal fédéral ( ATF 104 IV 270 consid. 3, 102 IV 103 consid. 2a; cf. Corboz, Le pourvoi en nullité à la Cour de cassation du Tribunal fédéral, in SJ 1991 p. 57 ss, 67). Par conséquent, le grief du recourant doit être considéré comme valablement soulevé devant le Tribunal fédéral.</w:t>
      </w:r>
    </w:p>
    <w:p>
      <w:r>
        <w:rPr>
          <w:b/>
        </w:rPr>
        <w:t>E. 12.2</w:t>
      </w:r>
    </w:p>
    <w:p>
      <w:r>
        <w:t>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Selon l'al. 2, le sursis ne peut pas être accordé lorsque le condamné a subi, à raison d'un crime ou d'un délit intentionnel, plus de trois mois de réclusion ou d'emprisonnement dans les cinq ans qui ont précédé la commission de l'infraction.</w:t>
      </w:r>
    </w:p>
    <w:p>
      <w:r>
        <w:t>En l'espèce, le recourant a été condamné à huit mois d'emprisonnement. Il n'a pas exécuté de peine privative de liberté de plus de trois mois dans les cinq ans précédant les infractions qui lui sont reprochées. Les conditions objectives du sursis sont donc réunies. La seule question litigieuse est donc de savoir si la condition dite subjective est réalisée, c'est-à-dire si l'on peut prévoir, en fonction des antécédents et du caractère du condamné, que cette mesure sera de nature à le détourner de commettre d'autres crimes ou délits.</w:t>
      </w:r>
    </w:p>
    <w:p>
      <w:r>
        <w:rPr>
          <w:b/>
        </w:rPr>
        <w:t>E. 12.3</w:t>
      </w:r>
    </w:p>
    <w:p>
      <w:r>
        <w:t>La peine est conditionnellement remise lorsqu'on peut espérer que cette mesure aura une meilleure influence sur l'amendement du coupable que l'exécution de la condamnation ( art. 41 ch. 1 al. 1 CP ; ATF 105 IV 291 consid. 2a p. 292; 98 IV 159 consid. 1 p. 160; 91 IV 57 p. 60). Le juge posera son pronostic, quant aux chances d'amendement et, partant, quant à l'efficacité du sursis, sur la base des éléments propres à éclairer l'ensemble du caractère du délinquant ( ATF 118 IV 97 consid. 2b p. 100 s.). Parmi les éléments liés à la personnalité de l'auteur, l'absence de prise de conscience est un facteur qui va à l'encontre d'un pronostic favorable. Il n'en va différemment que si le délinquant a des raisons justifiées de contester les faits qui lui sont reprochés. A cet égard, la conscience qu'a l'auteur de l'illicéité de son acte et le repentir qu'il en éprouve apparaissent comme les conditions les plus importantes pour l'établissement d'un pronostic (Schneider, Basler Kommentar, Strafgesetzbuch I, 2003, art. 41 CP , n. 98-100).</w:t>
      </w:r>
    </w:p>
    <w:p>
      <w:r>
        <w:rPr>
          <w:b/>
        </w:rPr>
        <w:t>E. 12.4</w:t>
      </w:r>
    </w:p>
    <w:p>
      <w:r>
        <w:t>En l'espèce, la cour cantonale a considéré qu'il était impossible de poser un pronostic favorable compte tenu du fait que le recourant avait déjà été condamné pour des infractions comparables et en raison de l'absence de prise de conscience de la gravité de ses actes. Dans ces circonstances, elle n'a pas violé le droit fédéral en refusant le sursis. Le grief soulevé doit être rejeté.</w:t>
      </w:r>
    </w:p>
    <w:p>
      <w:r>
        <w:rPr>
          <w:b/>
        </w:rPr>
        <w:t>E. 13</w:t>
      </w:r>
    </w:p>
    <w:p>
      <w:r>
        <w:t>Au vu de ce qui précède, le pourvoi doit être rejeté dans la mesure où il est recevable.</w:t>
      </w:r>
    </w:p>
    <w:p>
      <w:r>
        <w:t>Le recourant, qui succombe, sera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