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6P.49/2006 vom 6. April 2006</w:t>
      </w:r>
    </w:p>
    <w:p>
      <w:r>
        <w:t>Bundesgericht, 2006-04-06, FR</w:t>
      </w:r>
    </w:p>
    <w:p>
      <w:r>
        <w:rPr>
          <w:b/>
        </w:rPr>
        <w:t xml:space="preserve">Quelle: </w:t>
      </w:r>
      <w:r>
        <w:t>https://mcp.opencaselaw.ch/entscheid/bger_6P.49_2006</w:t>
      </w:r>
    </w:p>
    <w:p>
      <w:r>
        <w:t>FR: TF 6P.49/2006 du 6 avril 2006</w:t>
      </w:r>
    </w:p>
    <w:p>
      <w:r>
        <w:t>IT: TF 6P.49/2006 del 6 aprile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lettre b OJ , l'acte de recours doit, à peine d'irrecevabilité, contenir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2</w:t>
      </w:r>
    </w:p>
    <w:p>
      <w:r>
        <w:t>Le recourant s'en prend à l'interprétation du mobile, qualifié de particulièrement odieux par la cour cantonale ( art. 112 CP ). Il reproche à cette dernière d'avoir apprécié les preuves de manière arbitraire ( art. 9 Cst. ) et d'avoir violé le principe in dubio pro reo ( art. 32 Cst. et 6 § 2 CEDH ) en ne retenant pas que la mort de l'armurier ne faisait pas partie du plan initial, en ne mentionnant pas que cette mort était inscrite dans un contexte de panique en raison de l'usage imminent d'une arme à feu par la victime et en omettant de dire qu'elle était intervenue après une lutte où chacun des protagonistes a tenté de se défendre.</w:t>
      </w:r>
    </w:p>
    <w:p>
      <w:r>
        <w:rPr>
          <w:b/>
        </w:rPr>
        <w:t>E. 2.1</w:t>
      </w:r>
    </w:p>
    <w:p>
      <w:r>
        <w:t>Le Tribunal fédéral ne qualifie d'arbitraire (sur cette notion, cf. ATF 129 I 8 consid. 2.1 p. 9 et la jurisprudence citée) l'appréciation des preuves que si l'autorité cantonale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t>L'interprétation du mobile du recourant est une question de droit fédéral, que la cour de céans ne peut examiner que dans un pourvoi (cf. consid. 1.1). Les faits sur lesquels repose cette interprétation relèvent en revanche de l'appréciation des preuves, que la cour de céans peut revoir sous l'angle de l'arbitraire. En l'espèce, le recourant se contente de présenter les faits sous un angle qui lui est favorable, mais ne démontre pas en quoi la version de la cour cantonale serait arbitraire. Insuffisamment motivé, le grief soulevé est dès lors irrecevable.</w:t>
      </w:r>
    </w:p>
    <w:p>
      <w:r>
        <w:rPr>
          <w:b/>
        </w:rPr>
        <w:t>E. 2.2</w:t>
      </w:r>
    </w:p>
    <w:p>
      <w:r>
        <w:t>La présomption d'innocence, garantie par l' art. 32 al. 1 Cst. , l' art. 6 par. 2 CEDH et l' art. 14 al. 2 Pacte ONU II , porte à la fois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cassation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devant la Cour de cassation qui n'est pas juge du fait,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ss, 124 IV 86 consid. 2a p. 87 s.).</w:t>
      </w:r>
    </w:p>
    <w:p>
      <w:r>
        <w:t>En l'espèce, il n'apparaît pas que la cour cantonale aurait renversé le fardeau de la preuve, ni qu'elle aurait éprouvé un doute qu'elle aurait interprété en défaveur de l'accusé. La seule question est donc de savoir si la cour cantonale aurait dû éprouver un doute, question qui relève de l'appréciation des preuves et ne peut être examinée que sous l'angle de l'arbitraire, de sorte que ce grief se confond avec celui d'appréciation arbitraire des preuves (cf. consid. 2.1).</w:t>
      </w:r>
    </w:p>
    <w:p>
      <w:r>
        <w:rPr>
          <w:b/>
        </w:rPr>
        <w:t>E. 3</w:t>
      </w:r>
    </w:p>
    <w:p>
      <w:r>
        <w:t>En définitive, le recours de droit public est irrecevable.</w:t>
      </w:r>
    </w:p>
    <w:p>
      <w:r>
        <w:t>Comme le recours était d'emblée dépourvu de toute chance de succès, la requête d'assistance judiciaire doit être rejetée ( art. 152 al. 1 OJ ). Le recourant, qui succombe, doit supporter les frais ( art. 156 al. 1 OJ ), qui sont fixés de manière réduite pour tenir compte de sa mauvaise situation financière.</w:t>
      </w:r>
    </w:p>
    <w:p>
      <w:r>
        <w:t>Il n'y a pas lieu d'allouer d'indemnité aux intimés qui n'ont pas déposé de mémoire dans la procédure devant le Tribunal fédéral.</w:t>
      </w:r>
    </w:p>
    <w:p>
      <w:r>
        <w:t>II. Pourvoi en nullité</w:t>
      </w:r>
    </w:p>
    <w:p>
      <w:r>
        <w:rPr>
          <w:b/>
        </w:rPr>
        <w:t>E. 4</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5</w:t>
      </w:r>
    </w:p>
    <w:p>
      <w:r>
        <w:t>Le recourant conteste s'être rendu coupable d'assassinat sur la personne de l'armurier.</w:t>
      </w:r>
    </w:p>
    <w:p>
      <w:r>
        <w:rPr>
          <w:b/>
        </w:rPr>
        <w:t>E. 5.1</w:t>
      </w:r>
    </w:p>
    <w:p>
      <w:r>
        <w:t>Aux termes de l' art. 112 CP , se rend coupable d'assassinat ce- 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w:t>
      </w:r>
    </w:p>
    <w:p>
      <w:r>
        <w:t>Les mobiles sont particulièrement odieux lorsque l'auteur tue pour obtenir une rémunération ou pour voler sa victime ( ATF 127 IV 10 consid. 1a p. 14; 118 IV 122 consid. 2b p. 125; ATF 115 IV 187 consid. 2 p. 188). Le meurtre d'une personne au cours d'un brigandage constitue ainsi un cas type d'assassinat. Selon la jurisprudence, il suffit que le meurtre soit lié au brigandage. Il est sans importance que l'auteur ait tué avant, durant ou juste après l'appropriation et qu'il ait tué sans raison particulière ou par crainte d'une réaction de la victime ( ATF 115 IV 187 consid. 2 p. 188; Stratenwerth/Jenny, Schweizerisches Strafrecht, Besonderer Teil I: Straftaten gegen Individualinteressen, 6ème éd., Berne 2003, § 1, n. 23).</w:t>
      </w:r>
    </w:p>
    <w:p>
      <w:r>
        <w:t>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w:t>
      </w:r>
    </w:p>
    <w:p>
      <w:r>
        <w:t>Chez l'assassin, l'égoïsme l'emporte en général sur toute autre considération. Il est souvent prêt à sacrifier, pour satisfaire des besoins égoïstes, un être humain dont il n'a pas eu à souffrir et fait preuve d'un manque complet de scrupules et d'une grande froideur affective (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 art. 111 CP ( ATF 127 IV 10 consid. 1a p. 13; 120 IV 265 consid. 3a p. 274; 118 IV 122 consid. 2b p.125 s.; 117 IV 369 consid. 17 p. 389 ss).</w:t>
      </w:r>
    </w:p>
    <w:p>
      <w:r>
        <w:rPr>
          <w:b/>
        </w:rPr>
        <w:t>E. 5.2</w:t>
      </w:r>
    </w:p>
    <w:p>
      <w:r>
        <w:t>Il ressort des constatations cantonales, qui lient la cour de céans, que le recourant a tué l'armurier parce que ce dernier opposait de la résistance au vol qu'il avait planifié. Mû par la cupidité, le recourant n'a ainsi pas hésité à tuer une personne qu'il ne connaissait pas et dont il n'avait pas à souffrir. Dans ces circonstances, le mobile du recourant ne peut être que qualifié de particulièrement odieux.</w:t>
      </w:r>
    </w:p>
    <w:p>
      <w:r>
        <w:t>Le recourant plaide en vain que les coups de tournevis auraient été portés dans une lutte engagée avec l'armurier où chacun a tenté de se défendre. Par cette argumentation, il s'écarte de l'état des faits qui ont été retenus dans l'arrêt cantonal. En effet, la victime était un vieillard âgé de 82 ans et, lorsque le recourant l'a frappée mortellement, elle était à terre et avait déjà reçu un coup de tournevis dans la poitrine. Âgé lui-même de vingt quatre ans, le recourant ne peut, dans ces circonstances, soutenir qu'il se trouvait en danger et qu'il a été pris de panique. L'argument du recourant tiré du fait que l'armurier serait décédé seulement en raison de deux coups mortels et qu'il ne se serait en conséquence pas acharné sur le vieillard déjà blessé n'est pas non plus pertinent, dans la mesure où l'arrêt attaqué constate que les deux comparses ont neutralisé l'armurier, qui avait réussi à extraire dans un premier temps le tournevis planté dans sa poitrine, par des coups subséquents assénés avec une plus grande force de pénétration. En s'acharnant ainsi sur un être âgé et affaibli, le recourant a agi d'une manière d'autant plus odieuse.</w:t>
      </w:r>
    </w:p>
    <w:p>
      <w:r>
        <w:t>Contrairement à ce que semble croire le recourant, la loi n'exige pas que l'auteur de l'assassinat ait prémédité son acte. L'argument du recourant, selon lequel le plan initial visait exclusivement un brigandage, est dès lors sans pertinence. C'est également à tort que le recourant reproche à la cour cantonale d'avoir retenu comme critère d'application de l' art. 112 CP la dissimulation du corps derrière le comptoir. En effet, le fait d'abandonner derrière le comptoir l'armurier blessé à mort - qui relève encore de la commission de l'assassinat - montre l'existence d'une froideur et d'une bassesse extrêmes, qui confirment le caractère particulièrement odieux de l'assassin.</w:t>
      </w:r>
    </w:p>
    <w:p>
      <w:r>
        <w:t>Au vu de l'ensemble de ces éléments, la cour cantonale n'a donc pas violé le droit fédéral en qualifiant d'assassinat l'homicide commis par le recourant sur l'armurier. Dans la mesure où ils sont recevables, les griefs soulevés doivent être rejetés.</w:t>
      </w:r>
    </w:p>
    <w:p>
      <w:r>
        <w:rPr>
          <w:b/>
        </w:rPr>
        <w:t>E. 6</w:t>
      </w:r>
    </w:p>
    <w:p>
      <w:r>
        <w:t>Le recourant conteste avoir agi avec cruauté lors de l'enlèvement de l'étudiant allemand.</w:t>
      </w:r>
    </w:p>
    <w:p>
      <w:r>
        <w:rPr>
          <w:b/>
        </w:rPr>
        <w:t>E. 6.1</w:t>
      </w:r>
    </w:p>
    <w:p>
      <w:r>
        <w:t>L' art. 184 al. 3 CP punit de la réclusion jusqu'à vingt ans (au lieu de la réclusion pour cinq ans au plus ou de l'emprisonnement) la séquestration et l'enlèvement lorsque l'auteur a traité la victime avec cruauté.</w:t>
      </w:r>
    </w:p>
    <w:p>
      <w:r>
        <w:t>Selon la jurisprudence, la cruauté envisagée dans cette disposition implique une atteinte sérieuse au bien-être physique ou psychique qui va au-delà de ce qui résulte inévitablement de l'atteinte à la liberté réprimée par l'infraction de base. Elle suppose que l'auteur inflige à la victime des souffrances particulières de par leur importance, leur durée ou leur répétition, manifestant ainsi une mentalité dénuée de sentiment et de pitié. Ces souffrances particulières ne sont cependant pas nécessairement liées à des faits constitutifs d'une autre infraction. D'un point de vue subjectif, l'auteur doit connaître et vouloir ses souffrances particulières ( ATF 106 IV 363 consid. 4d et e p. 366 s.).</w:t>
      </w:r>
    </w:p>
    <w:p>
      <w:r>
        <w:t>La cruauté peut se manifester par une omission (par exemple par une sous-alimentation) et peut être uniquement morale ( ATF 106 IV 363 consid. 4d p. 366 s.). Elle peut aussi résulter d'un sadisme inutile à l'égard de la victime; par exemple, un être fragile est maintenu dans l'obscurité, ou à proximité d'animaux dégoûtants ou effrayants, même s'ils sont inoffensifs ( ATF 106 IV 363 consid. 4e p. 367), ou encore l'auteur inflige des souffrances physiques ou des blessures inutiles pour réaliser l'infraction de base ( ATF 106 IV 363 consid. 4f p. 368). Les art. 189 al. 3 et 190 al. 3 CP, qui répriment la contrainte sexuelle et le viol, citent comme exemple de cruauté l'usage d'une arme dangereuse ou d'un autre objet dangereux. En effet, en menaçant la victime avec une arme dangereuse ou un objet dangereux, l'auteur crée chez la victime une angoisse, allant au-delà de l'atteinte liée à l'infraction de base, car la victime est alors fondée à craindre d'être tuée ou grièvement blessée (Corboz, Les infractions en droit suisse, vol. I, Berne 2002, art. 189, n. 37; dans un sens critique, cf. Stratenwerth/Jenny, op. cit., § 8, n. 19).</w:t>
      </w:r>
    </w:p>
    <w:p>
      <w:r>
        <w:rPr>
          <w:b/>
        </w:rPr>
        <w:t>E. 6.2</w:t>
      </w:r>
    </w:p>
    <w:p>
      <w:r>
        <w:t>En l'espèce, le recourant a menacé à plusieurs reprises l'étudiant qu'il le tuerait en cas de résistance, menace qu'il renouvelait tacitement en manipulant son arme et en faisant des mouvements de charge. Par ce comportement, le recourant a suscité chez sa victime la terreur d'être assassinée, terreur qui ne l'a plus quittée durant toute sa détention. La cruauté ne résulte pas de l'usage de l'arme, mais bien de la terreur que cet usage a provoqué chez la victime. Ces menaces, qui réalisent les éléments constitutifs de l'infraction définie à l' art. 180 CP , ne découlent pas de la simple séquestration, et vont au-delà des souffrances liées à la privation de liberté. Outre ces menaces de mort, l'arrêt attaqué retient que la victime a été menottée à deux reprises, humiliée et privée de ses lunettes médicales, autant d'éléments impliquant une souffrance psychologique intense. Le fait que la victime a été autorisée à envoyer un message SMS à sa fiancée et le fait qu'elle a été emmenée à deux reprises au bord du lac pour se baigner ne suppriment pas le traitement cruel infligé à la victime par le recourant et son comparse.</w:t>
      </w:r>
    </w:p>
    <w:p>
      <w:r>
        <w:t>Dans la mesure où le recourant conteste avoir voulu et/ou su que sa victime a ressenti des souffrances particulières excédant celles liées à la privation de liberté, il s'en prend à l'état de fait cantonal, ce qu'il n'est pas habilité à faire dans un pourvoi ( art. 273 al. 1 let. b, art. 277bis PPF ). De jurisprudence constante, ce que l'auteur savait, voulait ou ce dont il s'accommodait relève en effet du contenu de la pensée, donc de l'établissement des faits ( ATF 125 IV 242 consid. 3c p. 252; 119 IV 1 consid. 5a p. 3). En l'espèce, la cour cantonale précise à la page 18 de l'arrêt attaqué que la souffrance psychologique intense que le comportement du recourant a impliqué pour sa victime ne pouvait échapper à ce dernier.</w:t>
      </w:r>
    </w:p>
    <w:p>
      <w:r>
        <w:t>Le recourant ne saurait non plus tirer argument du fait que les souffrances sont le résultat des agissements d'un de ses comparses. En effet, l'arrêt constate que, tant durant le voyage que lors de la détention dans le squat, le recourant a également menacé de mort la victime (ne serait-ce qu'en se vantant d'avoir tué de nombreuses personnes) et qu'il a ainsi personnellement provoqué chez cette dernière des souffrances allant au-delà de la simple détention. Dans tous les cas, la circonstance aggravante de la cruauté est une circonstance réelle, qui nuit à tous les participants qui la connaissent, sans qu'il soit nécessaire qu'ils y aient "participé activement". Or, l'arrêt retient que les acolytes savaient qu'ils utiliseraient des armes pour faire peur à la victime et que le recourant a vu ses comparses manipuler leurs armes.</w:t>
      </w:r>
    </w:p>
    <w:p>
      <w:r>
        <w:t>Au vu de l'ensemble des faits constatés, la cour cantonale n'a dès lors pas violé le droit fédéral en qualifiant de cruel le traitement infligé par le recourant à sa victime et en faisant application de l' art. 184 al. 3 CP . Dans la mesure où ils sont recevables, les griefs soulevés doivent être rejetés.</w:t>
      </w:r>
    </w:p>
    <w:p>
      <w:r>
        <w:rPr>
          <w:b/>
        </w:rPr>
        <w:t>E. 7</w:t>
      </w:r>
    </w:p>
    <w:p>
      <w:r>
        <w:t>Enfin, le recourant s'en prend à la peine de dix-sept ans qui lui a été infligée.</w:t>
      </w:r>
    </w:p>
    <w:p>
      <w:r>
        <w:rPr>
          <w:b/>
        </w:rPr>
        <w:t>E. 7.1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dans les ATF 117 IV 112 consid. 1 et 116 IV 288 consid. 2a et, plus récemment, dans l' ATF 129 IV 6 consid. 6.1, auxquels on peut se référer. Le critère essentiel est celui de la gravité de la faute.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7.2</w:t>
      </w:r>
    </w:p>
    <w:p>
      <w:r>
        <w:t>En l'espèce, la cour cantonale a relevé, à charge du recourant, que les faits commis étaient d'une rare gravité, s'agissant d'un assassinat en concours avec un brigandage, auquel s'ajoutaient, quelques mois plus tard, l'enlèvement et la séquestration d'une personne avec la circonstance aggravante de la cruauté. Elle a mentionné que le recourant avait été l'initiateur des actes et qu'il avait agi dans l'unique et égoïste mobile de se procurer des biens et de l'argent. Elle a noté que le recourant s'en était pris les deux fois à des victimes plus faibles que lui, précisant que, dans le cas de l'étudiant allemand, il avait abusé de la gentillesse du jeune homme qui avait accepté de le transporter dans sa voiture et l'avait par la suite terrorisé par son attitude menaçante et l'emploi d'armes à feu.</w:t>
      </w:r>
    </w:p>
    <w:p>
      <w:r>
        <w:t>A décharge du recourant, la cour cantonale a mentionné que le recourant avait manifesté des regrets et demandé pardon à ses victimes, même s'il manquait d'empathie. Elle a tenu compte de sa situation personnelle et a relevé son jeune âge. Elle a retenu que le recourant avait collaboré positivement à l'instruction en reconnaissant l'essentiel de ses actes, même s'il avait pendant de longs mois présenté une fausse identité et modifié sa version lors de l'audience. C'est en vain que le recourant invoque l'absence d'antécédent, puisqu'il a été condamné le 30 janvier 2002 à un mois d'emprisonnement avec sursis pendant trois ans et à une mesure d'expulsion ferme de trois ans.</w:t>
      </w:r>
    </w:p>
    <w:p>
      <w:r>
        <w:t>Le raisonnement adopté par la cour cantonale peut être facilement suivi. Elle a motivé de manière détaillée et complète la peine, et le recourant n'invoque aucun élément, propre à la modifier, qu'elle aurait omis ou pris en considération à tort. La peine a été fixée en tenant compte non seulement de l'extrême gravité des actes commis par le recourant, mais aussi de sa prise de conscience subséquente, de ses regrets et de sa bonne collaboration à l'enquête. Au vu de l'ensemble de ces éléments, la peine de dix-sept ans ans de réclusion n'apparaît pas sévère à un point tel qu'il faille conclure à un abus du large pouvoir d'appréciation accordé à la cour cantonale. Le grief de violation de l' art. 63 CP est dès lors infondé.</w:t>
      </w:r>
    </w:p>
    <w:p>
      <w:r>
        <w:rPr>
          <w:b/>
        </w:rPr>
        <w:t>E. 8</w:t>
      </w:r>
    </w:p>
    <w:p>
      <w:r>
        <w:t>Dans le mesure où il est recevable, le pourvoi doit être rejeté.</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