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6P.45/2003 vom 17. Juni 2003</w:t>
      </w:r>
    </w:p>
    <w:p>
      <w:r>
        <w:t>Bundesgericht, 2003-06-17, FR</w:t>
      </w:r>
    </w:p>
    <w:p>
      <w:r>
        <w:rPr>
          <w:b/>
        </w:rPr>
        <w:t xml:space="preserve">Quelle: </w:t>
      </w:r>
      <w:r>
        <w:t>https://mcp.opencaselaw.ch/entscheid/bger_6P.45_2003</w:t>
      </w:r>
    </w:p>
    <w:p>
      <w:r>
        <w:t>FR: TF 6P.45/2003 du 17 juin 2003</w:t>
      </w:r>
    </w:p>
    <w:p>
      <w:r>
        <w:t>IT: TF 6P.45/2003 del 17 giugno 2003</w:t>
      </w:r>
    </w:p>
    <w:p>
      <w:pPr>
        <w:pStyle w:val="Heading2"/>
      </w:pPr>
      <w:r>
        <w:t>Erwägungen</w:t>
      </w:r>
    </w:p>
    <w:p>
      <w:r>
        <w:rPr>
          <w:b/>
        </w:rPr>
        <w:t>E. 1</w:t>
      </w:r>
    </w:p>
    <w:p>
      <w:r>
        <w:t>En règle générale, le Tribunal fédéral sursoit à l'arrêt sur le pourvoi en nullité jusqu'à droit connu sur le recours de droit public ( art. 275 al. 5 PPF ). En l'espèce, il se justifie toutefois de déroger à cette règle, pour des motifs d'économie de procédure.</w:t>
      </w:r>
    </w:p>
    <w:p>
      <w:r>
        <w:t>I. Pourvoi en nullité</w:t>
      </w:r>
    </w:p>
    <w:p>
      <w:r>
        <w:rPr>
          <w:b/>
        </w:rPr>
        <w:t>E. 2</w:t>
      </w:r>
    </w:p>
    <w:p>
      <w:r>
        <w:t>Invoquant une violation de l' art. 63 CP , le recourant reproche à l'autorité cantonale de ne pas avoir tenu compte de son état de santé lors de la fixation de la peine.</w:t>
      </w:r>
    </w:p>
    <w:p>
      <w:r>
        <w:rPr>
          <w:b/>
        </w:rPr>
        <w:t>E. 2.1</w:t>
      </w:r>
    </w:p>
    <w:p>
      <w:r>
        <w:t>Pour fixer la peine, le juge dispose d'un large pouvoir d'appréciation. Un pourvoi en nullité portant sur la quotité de la peine ne peut donc être admis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127 IV 101 consid. 2c p. 104; 124 IV 286 consid. 4a p. 295; 123 IV 49 consid. 2a p. 51, 150 consid. 2a p. 152 s. et les arrêts cités).</w:t>
      </w:r>
    </w:p>
    <w:p>
      <w:r>
        <w:t>Le juge doit exposer dans sa décision les éléments essentiels relatifs à l'acte ou à l'auteur qu'il prend en compte, de manière à ce que l'on puisse constater que tous les aspects pertinents ont été pris en considération et comment ils ont été appréciés, que ce soit dans un sens atténuant ou aggravant; il peut passer sous silence les éléments qui, sans abus du pouvoir d'appréciation, lui paraissent non pertinents ou d'une importance mineure. La motivation doit justifier la peine prononcée, en permettant de suivre le raisonnement adopté; mais le juge n'est nullement tenu d'exprimer en chiffres ou en pourcentages l'importance qu'il accorde à chacun des éléments qu'il cite. Un pourvoi ne saurait être admis simplement pour améliorer ou compléter un considérant lorsque la décision rendue apparaît conforme au droit ( ATF 127 IV 101 consid. 2c p. 104 s.; 122 IV 265 consid. 2d p. 269).</w:t>
      </w:r>
    </w:p>
    <w:p>
      <w:r>
        <w:t>La gravité de la faute est le critère essentiel à prendre en considération dans la fixation de la peine et le juge doit l'évaluer en fonction de tous les éléments pertinents, notamment ceux qui ont trait à l'acte lui-même, à savoir le résultat de l'activité illicite, le mode d'exécution, l'intensité de la volonté délictuelle et les mobiles, et ceux qui concernent l'auteur, soit les antécédents, la situation personnelle et le comportement après l'acte et au cours de la procédure pénale ( ATF 127 IV 101 consid. 2a p. 103; 122 IV 241 consid. 1a p. 243; 118 IV 21 consid. 2b p. 24 s.; 117 IV 112 consid. 1; 116 IV 288 consid. 2a). Concernant la situation personnelle de l'auteur, le juge doit prendre en compte sa vulnérabilité face à la peine, soit son état de santé et son âge, ses obligations familiales, sa situation professionnelle, les risques de récidive etc. ( ATF 102 IV 231 consid. 3 p. 233; 96 IV 155 consid. 3 p. 179).</w:t>
      </w:r>
    </w:p>
    <w:p>
      <w:r>
        <w:rPr>
          <w:b/>
        </w:rPr>
        <w:t>E. 2.2</w:t>
      </w:r>
    </w:p>
    <w:p>
      <w:r>
        <w:t>En l'espèce, les lésions du recourant ne sont pas de nature à accroître sa sensibilité à la peine de manière telle qu'elles justifieraient une atténuation de celle-ci. En effet, selon la jurisprudence, la vulnérabilité face à la peine n'entre en considération, comme circonstance atténuante, que lorsqu'elle s'écarte du principe de la sensibilité commune à la douleur, comme par exemple en présence de lourdes maladies, de psychoses claustrophobiques ou de surdimutité (cf. arrêt non publié du Tribunal fédéral du 26 mars 1996, 6S.703/1995; cf. Bruns, Das Recht der Strafzumessung, 2. Auflage, Köln etc., 1985, p. 197 s.; Stratenwerth, Schweizerisches Strafrecht, Allgemeiner Teil II, Berne 1989, § 7 n. 53 ss; Arzt, Strafzumessung: Revolution in der Sackgasse, Recht 1994, p. 141 et 153). Selon les constatations cantonales, le recourant souffre d'une perte d'amplitude d'environ 80 % du nerf fémoral gauche, d'importantes douleurs névralgiques et d'une diminution de la force musculaire ainsi que d'une atrophie des muscles de la cuisse. Il ne s'agit pas d'une maladie lourde au sens où l'entend la jurisprudence précitée ou de problèmes difficilement gérables en milieu carcéral. En effet, le recourant peut toujours se mouvoir et exercer des activités ordinaires. Il sera par ailleurs tenu compte de son handicap et de ses douleurs dans le cadre de l'exécution de la peine. Partant, le grief du recourant selon lequel il n'a pas été tenu compte de son état de santé lors de la fixation de la peine tombe à faux, cet élément étant, dans le cas présent, sans pertinence dans l'application de l' art. 63 CP .</w:t>
      </w:r>
    </w:p>
    <w:p>
      <w:r>
        <w:rPr>
          <w:b/>
        </w:rPr>
        <w:t>E. 2.3</w:t>
      </w:r>
    </w:p>
    <w:p>
      <w:r>
        <w:t>Au surplus, le recourant n'invoque aucun autre grief en relation avec la peine. Il ne cite aucun élément important, propre à modifier la peine, qui aurait été omis ou pris en considération à tort. Enfin, les éléments retenus ci-dessus (cf. supra, consid. A.b) attestent d'une lourde culpabilité et la peine infligée de 11 ans de réclusion n'apparaît pas sévère au point de constituer un abus du pouvoir d'appréciation.</w:t>
      </w:r>
    </w:p>
    <w:p>
      <w:r>
        <w:t>En conclusion, le pourvoi doit être rejeté.</w:t>
      </w:r>
    </w:p>
    <w:p>
      <w:r>
        <w:t>II. Recours de droit public</w:t>
      </w:r>
    </w:p>
    <w:p>
      <w:r>
        <w:rPr>
          <w:b/>
        </w:rPr>
        <w:t>E. 3</w:t>
      </w:r>
    </w:p>
    <w:p>
      <w:r>
        <w:t>Le recourant soutient que la cour cantonale admet de manière arbitraire que les lésions qu'il a subies ont été prises en considération au moment de la fixation de la peine par l'autorité de première instance. Il affirme que la seconde autorité ne saurait simplement substituer sa propre appréciation à celle de la première, mais aurait dû annuler et renvoyer la cause ou réformer le jugement en tenant compte des suites des coups de feu.</w:t>
      </w:r>
    </w:p>
    <w:p>
      <w:r>
        <w:t>En l'espèce, la question de savoir s'il a été tenu compte ou non des lésions subies est sans pertinence, dès lors qu'il ne s'agit pas d'un élément déterminant au sens de l' art. 63 CP , les blessures en question ne justifiant pas une atténuation de la peine (cf. supra, consid. 2.2). La critique du recourant est dès lors mal fondée et le recours de droit public doit être rejeté.</w:t>
      </w:r>
    </w:p>
    <w:p>
      <w:r>
        <w:t>III. Frais et assistance judiciaire</w:t>
      </w:r>
    </w:p>
    <w:p>
      <w:r>
        <w:rPr>
          <w:b/>
        </w:rPr>
        <w:t>E. 4</w:t>
      </w:r>
    </w:p>
    <w:p>
      <w:r>
        <w:t>Au regard de la motivation cantonale erronée selon laquelle il y aurait lieu de tenir compte des blessures dans la fixation de la peine (cf. supra, consid. B), le recours n'apparaissait pas d'emblée dépourvu de chances de succès et l'assistance judiciaire sera accordée au recourant qui a suffisamment démontré qu'il était dans le besoin ( art. 152 al. 1 OJ ). En conséquence, il ne sera pas perçu de frais et une indemnité sera versée à l'avocat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