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6P.33/2007 vom 4. Juni 2007</w:t>
      </w:r>
    </w:p>
    <w:p>
      <w:r>
        <w:t>Bundesgericht, 2007-06-04, DE</w:t>
      </w:r>
    </w:p>
    <w:p>
      <w:r>
        <w:rPr>
          <w:b/>
        </w:rPr>
        <w:t xml:space="preserve">Quelle: </w:t>
      </w:r>
      <w:r>
        <w:t>https://mcp.opencaselaw.ch/entscheid/bger_6P.33_2007</w:t>
      </w:r>
    </w:p>
    <w:p>
      <w:r>
        <w:t>FR: TF 6P.33/2007 du 4 juin 2007</w:t>
      </w:r>
    </w:p>
    <w:p>
      <w:r>
        <w:t>IT: TF 6P.33/2007 del 4 giugno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ist deshalb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vorliegend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mit Hinweisen).</w:t>
      </w:r>
    </w:p>
    <w:p>
      <w:r>
        <w:rPr>
          <w:b/>
        </w:rPr>
        <w:t>E. 2</w:t>
      </w:r>
    </w:p>
    <w:p>
      <w:r>
        <w:t>Dem Schuldspruch wegen Schändung ( Art. 191 StGB ) liegt zusammengefasst folgender Sachverhalt zugrunde:</w:t>
      </w:r>
    </w:p>
    <w:p>
      <w:r>
        <w:t>Am Abend des 23. Juni 2003 traf sich der Beschwerdeführer mit seiner Bekannten B.________ in deren Wohnung. Dort war auch A.________ anwesend, welche vorübergehend bei B.________ wohnte. Nach dem gemeinsamen Konsum einer Pizza rauchten B.________ und der Beschwerdeführer zwei "Joints". Später nahm der Beschwerdeführer zwei "Ecstasy-Pillen" hervor, konsumierte eine selber und teilte die zweite unter den beiden Frauen auf. B.________ begab sich anschliessend aufs Sofa und nickte dort ein. A.________ spielte auf der Matratze mit ihrem Schäferhund und der Beschwerdeführer gesellte sich zu ihr. A.________ schlief - möglicherweise nachdem es zwischen ihr und dem Beschwerdeführer zum Petting gekommen war - auf der Matratze ein. Der Beschwerdeführer entblösste sodann den Unterleib der schlafenden A.________ und lag, als diese erwachte, über ihr. Trotz der verbalen Proteste von A.________ vollzog der Beschwerdeführer in der Folge den Beischlaf.</w:t>
      </w:r>
    </w:p>
    <w:p>
      <w:r>
        <w:t>I. Staatsrechtliche Beschwerde</w:t>
      </w:r>
    </w:p>
    <w:p>
      <w:r>
        <w:rPr>
          <w:b/>
        </w:rPr>
        <w:t>E. 3.1</w:t>
      </w:r>
    </w:p>
    <w:p>
      <w:r>
        <w:t>Das Obergericht hat erwogen, es könne nicht ernstlich daran gezweifelt werden, dass es zwischen dem Beschwerdeführer und der Beschwerdegegnerin zum Geschlechtsverkehr gekommen sei. Hierfür sprächen insbesondere die glaubhaften Aussagen der Zeugin B.________, wonach sich im Bereich der Matratze ein gefülltes und verknotetes Kondom befunden habe. Zudem habe der Beschwerdeführer selber eingeräumt, er habe am nächsten Tag sein mitgeführtes Kondom vermisst (angefochtenes Urteil S. 15). Gestützt auf die glaubhaften Aussagen der Beschwerdegegnerin sei des Weiteren davon auszugehen, dass sie den Geschlechtsverkehr mit dem Beschwerdeführer nicht gewollt habe. Namentlich sei es nicht nachvollziehbar, dass sie nach einem einvernehmlichen Geschlechtsverkehr plötzlich und unvermittelt ihren Freund telefonisch hätte kontaktieren wollen (angefochtenes Urteil S. 17). Offenbar als Folge des Drogenkonsums und möglicherweise auch aufgrund der Schlaftrunkenheit und dem für sie überraschenden Geschehen sei die Beschwerdegegnerin jedoch nicht in der Lage gewesen, sich körperlich gegen den Beschwerdeführer zur Wehr zu setzen. Verbal habe sie aber gegen den Geschlechtsverkehr protestiert und den Beschwerdeführer ausdrücklich zum Aufhören aufgefordert (angefochtenes Urteil S. 18).</w:t>
      </w:r>
    </w:p>
    <w:p>
      <w:r>
        <w:rPr>
          <w:b/>
        </w:rPr>
        <w:t>E. 3.2</w:t>
      </w:r>
    </w:p>
    <w:p>
      <w:r>
        <w:t>Der Beschwerdeführer rügt eine Verletzung des Grundsatzes "in dubio pro reo". Einerseits bestünden erhebliche Zweifel, dass es in jener Nacht überhaupt zum Geschlechtsverkehr gekommen sei, sei doch das angeblich benutzte Kondom nie aufgefunden worden. Andererseits lägen unüberwindliche Zweifel vor, ob die Beschwerdegegnerin zum Zeitpunkt des allfälligen Geschlechtsverkehrs überhaupt widerstandsunfähig gewesen sei (Beschwerdeschrift S. 4).</w:t>
      </w:r>
    </w:p>
    <w:p>
      <w:r>
        <w:rPr>
          <w:b/>
        </w:rPr>
        <w:t>E. 3.3</w:t>
      </w:r>
    </w:p>
    <w:p>
      <w:r>
        <w:t>Aus der in Art. 32 Abs. 1 BV und Art. 6 Ziff. 2 EMRK verankerten Unschuldsvermutung wird die Rechtsregel "in dubio pro reo" abgeleitet (vgl. BGE 127 I 38 E. 2a mit Hinweisen).</w:t>
      </w:r>
    </w:p>
    <w:p>
      <w:r>
        <w:t>Als Beweiswürdigungsregel besagt die Maxime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w:t>
      </w:r>
    </w:p>
    <w:p>
      <w:r>
        <w:t>Als Beweislastregel bedeutet die Maxime "in dubio pro reo", dass es Sache des Staates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Urteilserwägungen ergibt, dass der Strafrichter von der falschen Meinung ausging, der Angeklagte habe seine Unschuld zu beweisen, und dass er ihn verurteilte, weil ihm dieser Beweis misslang.</w:t>
      </w:r>
    </w:p>
    <w:p>
      <w:r>
        <w:rPr>
          <w:b/>
        </w:rPr>
        <w:t>E. 3.4</w:t>
      </w:r>
    </w:p>
    <w:p>
      <w:r>
        <w:t>Das Obergericht hat erörtert, weshalb es insbesondere die Aussagen der Zeugin B.________, wonach sich im Bereich der Matratze ein gefülltes und verknotetes Kondom befunden habe, als glaubhaft eingestuft hat (angefochtenes Urteil S. 9). Des Weiteren konnte das Obergericht ohne Willkür namentlich auf die tatnächsten Aussagen des Beschwerdeführers vor dem Untersuchungsrichteramt Olten vom 25. Juni 2003 abstellen, wo dieser zu Protokoll gab, mit der Beschwerdegegnerin Geschlechtsverkehr gehabt zu haben und sein mitgeführtes Kondom nicht mehr zu finden (angefochtenes Urteil S. 5 mit Hinweis auf die vorinstanzlichen Akten act. 181). Die namentlich auch gestützt auf die Aussagen der Beschwerdegegnerin gezogenen Schlussfolgerungen des Obergerichts, es sei somit in besagter Nacht zum Geschlechtsverkehr zwischen dem Beschwerdeführer und der Beschwerdegegnerin gekommen, halten der bundesgerichtlichen Willkürprüfung stand und verletzen demzufolge den Grundsatz "in dubio pro reo" nicht.</w:t>
      </w:r>
    </w:p>
    <w:p>
      <w:r>
        <w:rPr>
          <w:b/>
        </w:rPr>
        <w:t>E. 3.5</w:t>
      </w:r>
    </w:p>
    <w:p>
      <w:r>
        <w:t>In Bezug auf die Frage der Widerstandsunfähigkeit hat das Obergericht hingegen ausdrücklich erwogen, es sei nicht bewiesen, dass die Beschwerdegegnerin noch über eine Widerstandsfähigkeit verfügt (und tatsächlich körperlichen Widerstand geleistet) habe (angefochtenes Urteil S. 18). Wie weit die Abwehrversuche der Beschwerdegegnerin gediehen seien, könne nicht mit letzter Präzision gesagt werden; unter diesen Umständen sei davon auszugehen, dass die Widerstandsunfähigkeit nicht bestanden habe, zumal andernfalls davon auszugehen wäre, dass sonst eine Vergewaltigung vorläge (angefochtenes Urteil S. 19).</w:t>
      </w:r>
    </w:p>
    <w:p>
      <w:r>
        <w:t>Das Obergericht ist zum Schluss gelangt, dass aufgrund der Aussagen der Beteiligten die für den Tatbestand der Vergewaltigung ( Art. 190 StGB ) erforderliche Gewaltanwendung nicht erstellt ist (angefochtenes Urteil S. 18). Ein Schuldspruch wegen Schändung ( Art. 191 StGB ) setzt demgegenüber voraus, dass die Widerstandsunfähigkeit des (urteilsfähigen) Opfers zweifelsfrei nachgewiesen ist. Dies ist - wie auch das Obergericht nach durchgeführter Beweiswürdigung festgehalten hat - vorliegend nicht der Fall. Indem das Obergericht jedoch trotz nicht bewiesener Widerstandsunfähigkeit der Beschwerdegegnerin den Tatbestand von Art. 191 StGB bejaht hat, hat es implizit eine Umkehr der Beweislast statuiert und hierdurch die Unschuldsvermutung bzw. den Grundsatz "in dubio pro reo" als Beweislastregel verletzt.</w:t>
      </w:r>
    </w:p>
    <w:p>
      <w:r>
        <w:rPr>
          <w:b/>
        </w:rPr>
        <w:t>E. 3.6</w:t>
      </w:r>
    </w:p>
    <w:p>
      <w:r>
        <w:t>Die staatsrechtliche Beschwerde ist deshalb gutzuheissen und der angefochtene Entscheid aufzuheben. Bei diesem Ausgang des Verfahrens sind keine Kosten zu erheben ( Art. 156 Abs. 2 OG ). Der Kanton Solothurn hat dem Beschwerdeführer eine Entschädigung auszurichten ( Art. 159 OG ). Der Beschwerdegegnerin werden keine Kosten auferlegt.</w:t>
      </w:r>
    </w:p>
    <w:p>
      <w:r>
        <w:t>II. Nichtigkeitsbeschwerde</w:t>
      </w:r>
    </w:p>
    <w:p>
      <w:r>
        <w:rPr>
          <w:b/>
        </w:rPr>
        <w:t>E. 4</w:t>
      </w:r>
    </w:p>
    <w:p>
      <w:r>
        <w:t>Mit der Aufhebung des angefochtenen Entscheids ist die eidgenössische Nichtigkeitsbeschwerde gegenstandslos geworden und am Geschäftsverzeichnis abzuschreiben. In diesem Fall werden praxisgemäss weder Kosten erhoben noch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