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6P.199/2006 vom 19. Dezember 2006</w:t>
      </w:r>
    </w:p>
    <w:p>
      <w:r>
        <w:t>Bundesgericht, 2006-12-19, FR</w:t>
      </w:r>
    </w:p>
    <w:p>
      <w:r>
        <w:rPr>
          <w:b/>
        </w:rPr>
        <w:t xml:space="preserve">Quelle: </w:t>
      </w:r>
      <w:r>
        <w:t>https://mcp.opencaselaw.ch/entscheid/bger_6P.199_2006</w:t>
      </w:r>
    </w:p>
    <w:p>
      <w:r>
        <w:t>FR: TF 6P.199/2006 du 19 décembre 2006</w:t>
      </w:r>
    </w:p>
    <w:p>
      <w:r>
        <w:t>IT: TF 6P.199/2006 del 19 dicembre 2006</w:t>
      </w:r>
    </w:p>
    <w:p>
      <w:pPr>
        <w:pStyle w:val="Heading2"/>
      </w:pPr>
      <w:r>
        <w:t>Erwägungen</w:t>
      </w:r>
    </w:p>
    <w:p>
      <w:r>
        <w:rPr>
          <w:b/>
        </w:rPr>
        <w:t>E. 1</w:t>
      </w:r>
    </w:p>
    <w:p>
      <w:r>
        <w:t>Dénonçant une violation des art. 29 al. 2 et 32 al. 2 Cst., le recourant se plaint que l'ordonnance de condamnation, qui vaut, dans le cas d'espèce, acte d'accusation, ne mentionne pas les dispositions légales qui répriment les comportements que la cour cantonale qualifie de graves violations de la loi sur la circulation routière. La cour cantonale aurait en outre retenu à sa charge "des distances de sécurité non respectées" par rapport aux véhicules précédents, infraction pour laquelle il n'aurait pas été renvoyé en jugement. Plus particulièrement, ce serait de manière arbitraire que la cour cantonale aurait violé l'art. 218 E al. 1 en relation avec l' art. 220 al. 2 CPP /GE.</w:t>
      </w:r>
    </w:p>
    <w:p>
      <w:r>
        <w:rPr>
          <w:b/>
        </w:rPr>
        <w:t>E. 1.1</w:t>
      </w:r>
    </w:p>
    <w:p>
      <w:r>
        <w:t>Dans la procédure cantonale, le recourant n'a pas soulevé ces griefs. L' art. 86 OJ exige l'épuisement des instances cantonales pour tous les recours de droit public (sous réserve d'une exception qui n'entre pas en ligne de compte en l'espèce). La jurisprudence admet cependant la recevabilité de moyens de droit nouveaux lorsque l'autorité cantonale de dernière instance disposait d'un pouvoir d'examen libre et devait appliquer le droit d'office, pour autant qu'il ne s'agisse pas d'un recours de droit public pour arbitraire. Cependant, celui qui ne soulève pas devant l'autorité cantonale un grief lié à la conduite de la procédure ne peut en principe plus le soulever devant le Tribunal fédéral. Cela ne serait en effet pas conforme à la bonne foi ( ATF 119 Ia 88 consid. 1a p. 90 s.; 117 Ia 491 consid. 2a p. 495).</w:t>
      </w:r>
    </w:p>
    <w:p>
      <w:r>
        <w:t>En l'espèce, le recourant a été entendu à deux reprises devant le Tribunal de police genevois. Il a laissé celui-ci procéder à des mesures d'instruction et a même requis l'audition d'un témoin supplémentaire. Il a de nouveau été entendu, en appel, devant la Chambre pénale de la Cour de justice. Il ne s'est jamais plaint, à ces occasions, du fait que l'ordonnance de condamnation ne mentionnait pas les dispositions légales de la circulation routière violées. Ce n'est que devant le Tribunal fédéral qu'il a critiqué l'ordonnance de condamnation. Soulever aussi tardivement ce grief est contraire aux règles de la bonne foi. Dans ces conditions, le grief tiré de l'absence des règles de circulation violées est irrecevable.</w:t>
      </w:r>
    </w:p>
    <w:p>
      <w:r>
        <w:t>Le recourant se plaint également que la cour cantonale a retenu à sa charge une infraction complémentaire. Comme la mention de cette nouvelle accusation apparaît pour la première fois dans l'arrêt attaqué, on ne saurait reprocher au recourant de ne pas s'en être plaint auparavant. Il convient donc d'entrer en matière sur ce second grief.</w:t>
      </w:r>
    </w:p>
    <w:p>
      <w:r>
        <w:rPr>
          <w:b/>
        </w:rPr>
        <w:t>E. 1.2.1</w:t>
      </w:r>
    </w:p>
    <w:p>
      <w:r>
        <w:t>Composant du droit d'être entendu, le principe de l'accusation implique que le prévenu connaisse exactement les faits qui lui sont imputés ainsi que les peines et mesures auxquelles il s'expose, afin qu'il puisse s'expliquer et préparer efficacement sa défense ( ATF 126 I 19 consid. 2a p. 21; 120 IV 348 consid. 2b p. 353). Cette garantie peut aussi être déduite des art. 32 al. 2 Cst. et 6 par. 3 CEDH, qui n'ont pas de portée distincte. Le principe d'accusation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t>Le principe d'accusation est concrétisé dans la loi de procédure pénale genevoise par les art. 219 et 220 al. 2 CPP /GE. Ces dispositions prévoient que le Tribunal de police est saisi d'une feuille d'envoi qui précise les faits qui sont à la base de la poursuite et indique les dispositions légales applicables. Lorsqu'un accusé fait opposition à une ordonnance de condamnation, c'est celle-ci qui fait office de feuille d'envoi délimitant le cadre des débats (art. 218 E al. 1 CPP/GE).</w:t>
      </w:r>
    </w:p>
    <w:p>
      <w:r>
        <w:t>Le Tribunal fédéral ne contrôle l'application et l'interprétation du droit cantonal que sous l'angle de l'arbitraire. Dans tous les cas, l'autorité cantonale doit cependant observer les garanties minimales consacrées par la Constitution, dont le Tribunal fédéral examine librement le respect ( ATF 127 III 193 consid. 3 p. 194; 126 I 19 consid. 2a p. 21/22).</w:t>
      </w:r>
    </w:p>
    <w:p>
      <w:r>
        <w:rPr>
          <w:b/>
        </w:rPr>
        <w:t>E. 1.2.2</w:t>
      </w:r>
    </w:p>
    <w:p>
      <w:r>
        <w:t>En l'occurrence, l'ordonnance de condamnation énumère les comportements relevés dans le rapport de police et résultant du visionnement des enregistrements vidéos. Dans les événements relatés par l'ordonnance de condamnation, c'est toujours la voiture de l'autre automobiliste qui ne gardait pas une distance suffisante avec le véhicule du recourant. L'ordonnance de condamnation ne reproche aucun comportement semblable au recourant. En condamnant le recourant pour ne pas avoir respecté les distances et enfreint l' art. 12 OCR , la cour cantonale a donc étendu le complexe des faits reprochés au recourant dans l'ordonnance de condamnation et violé en conséquence le principe de l'accusation. Le grief du recourant doit donc être admis.</w:t>
      </w:r>
    </w:p>
    <w:p>
      <w:r>
        <w:rPr>
          <w:b/>
        </w:rPr>
        <w:t>E. 2</w:t>
      </w:r>
    </w:p>
    <w:p>
      <w:r>
        <w:t>En conclusion, le recours de droit public doit être admis, sans qu'il soit nécessaire d'examiner les autres griefs.</w:t>
      </w:r>
    </w:p>
    <w:p>
      <w:r>
        <w:t>Comme le recourant a obtenu gain de cause, il ne sera pas perçu de frais ( art. 156 al. 1 OJ ) et le canton de Genève lui versera une indemnité adéquate à titre de dépens ( art. 159 al. 2 OJ ). La requête d'assistance judiciaire devient ainsi sans objet.</w:t>
      </w:r>
    </w:p>
    <w:p>
      <w:r>
        <w:t>II. Pourvoi en nullité</w:t>
      </w:r>
    </w:p>
    <w:p>
      <w:r>
        <w:rPr>
          <w:b/>
        </w:rPr>
        <w:t>E. 3</w:t>
      </w:r>
    </w:p>
    <w:p>
      <w:r>
        <w:t>L'arrêt attaqué étant annulé, le pourvoi n'a plus d'objet.</w:t>
      </w:r>
    </w:p>
    <w:p>
      <w:r>
        <w:rPr>
          <w:b/>
        </w:rPr>
        <w:t>E. 4</w:t>
      </w:r>
    </w:p>
    <w:p>
      <w:r>
        <w:t>Conformément à la pratique, il n'est ni prélevé de frais ni alloué d'indemnité. La requête d'assistance judiciaire pour ce recours inutile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