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6P.166/2006 vom 23. Oktober 2006</w:t>
      </w:r>
    </w:p>
    <w:p>
      <w:r>
        <w:t>Bundesgericht, 2006-10-23, FR</w:t>
      </w:r>
    </w:p>
    <w:p>
      <w:r>
        <w:rPr>
          <w:b/>
        </w:rPr>
        <w:t xml:space="preserve">Quelle: </w:t>
      </w:r>
      <w:r>
        <w:t>https://mcp.opencaselaw.ch/entscheid/bger_6P.166_2006</w:t>
      </w:r>
    </w:p>
    <w:p>
      <w:r>
        <w:t>FR: TF 6P.166/2006 du 23 octobre 2006</w:t>
      </w:r>
    </w:p>
    <w:p>
      <w:r>
        <w:t>IT: TF 6P.166/2006 del 23 ottobre 2006</w:t>
      </w:r>
    </w:p>
    <w:p>
      <w:pPr>
        <w:pStyle w:val="Heading2"/>
      </w:pPr>
      <w:r>
        <w:t>Regeste</w:t>
      </w:r>
    </w:p>
    <w:p>
      <w:r>
        <w:t>Révision (art. 397 CP), organisation criminelle (art. 260ter CP), confiscation de valeurs patrimoniales (art. 59 ch. 3 CP) | Procédure</w:t>
      </w:r>
    </w:p>
    <w:p>
      <w:pPr>
        <w:pStyle w:val="Heading2"/>
      </w:pPr>
      <w:r>
        <w:t>Erwägungen</w:t>
      </w:r>
    </w:p>
    <w:p>
      <w:r>
        <w:rPr>
          <w:b/>
        </w:rPr>
        <w:t>E. 1</w:t>
      </w:r>
    </w:p>
    <w:p>
      <w:r>
        <w:t>Pour des motifs d'économie de procédure, il se justifie de déroger à la règle posée à l' art. 275 al. 5 PPF et de traiter le pourvoi en nullité avant le recours de droit public. I. Pourvoi en nullité</w:t>
      </w:r>
    </w:p>
    <w:p>
      <w:r>
        <w:rPr>
          <w:b/>
        </w:rPr>
        <w:t>E. 2.1</w:t>
      </w:r>
    </w:p>
    <w:p>
      <w:r>
        <w:t>Le pourvoi en nullité à la Cour de cassation du Tribunal fédéral ne peut être formé que pour violation du droit fédéral, à l'exception de la violation directe d'un droit de rang constitutionnel ( art. 269 PPF ). Il n'est notamment pas ouvert pour se plaindre de l'appréciation des preuves et des constatations de fait qui en découlent ( ATF 113 IV 17 consid. 3 p. 22, 109 IV 46 consid. 2 p. 48) ou pour invoquer la violation directe du droit cantonal ( ATF 114 IV 116 consid. 1c/aa p. 119), d'un droit constitutionnel ou d'un droit découlant de la CEDH ( ATF 121 IV 104 consid. 2b p. 106, 119 IV 107 consid. 1a p. 109, 330 consid. 2d p. 336 et les arrêts cités). De tels griefs sont irrecevables.</w:t>
      </w:r>
    </w:p>
    <w:p>
      <w:r>
        <w:rPr>
          <w:b/>
        </w:rPr>
        <w:t>E. 2.2</w:t>
      </w:r>
    </w:p>
    <w:p>
      <w:r>
        <w:t>Saisie d'un pourvoi en nullité, la Cour de cassation n'est pas liée par les motifs invoqués, mais elle ne peut aller au-delà des conclusions du recourant. En revanche, sous réserve de la rectification d'une inadvertance manifeste, elle est liée par les constatations de fait de l'autorité cantonale ( art. 277bis PPF ). Il ne peut être présenté de griefs contre celles-ci, ni de faits ou de moyens de preuve nouveaux ( art. 273 al. 1 let. b PPF ).</w:t>
      </w:r>
    </w:p>
    <w:p>
      <w:r>
        <w:rPr>
          <w:b/>
        </w:rPr>
        <w:t>E. 3</w:t>
      </w:r>
    </w:p>
    <w:p>
      <w:r>
        <w:t>Le recourant invoque une inadvertance manifeste au sens de l' art. 277bis al. 1 3 e phrase, en ce sens que la Cour cantonale aurait omis de tenir compte que la Cour de cassation genevoise et le Tribunal fédéral s'étaient fondés, dans leurs arrêts du 31 mai 1996 et du 27 août 1996, sur l'acte d'accusation florentin du 3 août 1993 pour conclure qu'il appartenait à une organisation criminelle et justifier la décision de confiscation. Il y a inadvertance manifeste lorsque l'autorité cantonale, par une simple inattention, a retenu un état de fait qui ne correspond manifestement pas au résultat de l'administration des preuves; tel est, par exemple, le cas si elle a omis de mentionner un fait clairement établi ou si, par une simple inattention, elle s'est à l'évidence trompée sur un point de fait établi sans équivoque. On ne saurait en revanche parler d'une inadvertance manifeste lorsque l'autorité cantonale a retenu ou écarté un fait à la suite d'un raisonnement ou d'un choix dans l'appréciation des preuves ( ATF 121 IV 104 consid. 2b p. 106; 118 IV 88 consid. 2b p. 89 s.). En l'espèce, il apparaît d'emblée que le recourant n'établit aucune inadvertance manifeste. D'abord, la Cour cantonale fait expressément référence à cet acte d'accusation et aux faits que le juge d'instruction florentin reprochait au recourant dans cet acte (arrêt p. 3). Pour le surplus, savoir si les faits qui ressortent de cet acte sont déterminants pour conclure à la participation du recourant à une organisation criminelle et, partant, pour fonder la décision de confiscation relève de l'application du droit. Mal fondé, le grief soulevé doit être rejeté.</w:t>
      </w:r>
    </w:p>
    <w:p>
      <w:r>
        <w:rPr>
          <w:b/>
        </w:rPr>
        <w:t>E. 4</w:t>
      </w:r>
    </w:p>
    <w:p>
      <w:r>
        <w:t>Le recourant dénonce une violation des art. 397, 260ter et 59 ch. 3 CP .</w:t>
      </w:r>
    </w:p>
    <w:p>
      <w:r>
        <w:rPr>
          <w:b/>
        </w:rPr>
        <w:t>E. 4.1</w:t>
      </w:r>
    </w:p>
    <w:p>
      <w:r>
        <w:t>L' art. 397 CP impose aux cantons de prévoir un recours en révision en faveur du condamné contre les jugements rendus en vertu du droit fédéral "quand des faits ou des moyens de preuve sérieux et dont le juge n'avait pas connaissance lors du premier procès viennent à être invoqués". La loi prévoit ainsi une double exigence: les faits ou moyens de preuve invoqués doivent être, d'une part, nouveaux et, d'autre part, sérieux. Les faits ou moyens de preuve sont nouveaux, au sens de cette disposition, lorsque le juge n'en a pas eu connaissance au moment où il s'est prononcé, c'est-à-dire qu'ils ne lui ont pas été soumis sous quelque forme que ce soit. Ils sont sérieux lorsqu'ils sont propres à ébranler les constatations de fait sur lesquelles se fonde la condamnation et qu'un état de fait ainsi modifié rend possible un jugement sensiblement plus favorable au condamné ( ATF 130 IV 72 consid. 1 p. 73; 125 IV 298 consid. 2b p. 301/2302; 122 IV 66 consid. 2a p. 67 et les références citées).</w:t>
      </w:r>
    </w:p>
    <w:p>
      <w:r>
        <w:rPr>
          <w:b/>
        </w:rPr>
        <w:t>E. 4.2</w:t>
      </w:r>
    </w:p>
    <w:p>
      <w:r>
        <w:t>Savoir si l'autorité cantonale s'est fondée sur une juste conception des notions de faits ou de moyens de preuve nouveaux et sérieux au sens de l' art. 397 CP est une question de droit. En revanche, savoir si un fait ou un moyen de preuve était effectivement inconnu du juge est une question de fait. Il en va de même de la question de savoir si un fait nouveau ou un moyen de preuve nouveau est propre à modifier l'état de fait retenu, puisqu'il s'agit alors d'une question d'appréciation des preuves, étant rappelé qu'une vraisemblance suffit au stade du rescindant.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p. 73; 125 IV 298 consid. 2b p. 301/2302; 122 IV 66 consid. 2a p. 67 et les références citées).</w:t>
      </w:r>
    </w:p>
    <w:p>
      <w:r>
        <w:rPr>
          <w:b/>
        </w:rPr>
        <w:t>E. 5</w:t>
      </w:r>
    </w:p>
    <w:p>
      <w:r>
        <w:t>En l'espèce, la Cour cantonale a dénié un caractère sérieux à l'élément invoqué par le recourant. Elle a considéré que l'ordonnance de non-lieu du 13 juin 2003, respectivement la révocation du mandat d'arrêt émis le 20 septembre 1990, étaient sans pertinence sur la décision de confiscation du 30 juin 1995, puisque le complexe de fait dressé par le jugement de condamnation italien du 12 novembre 1990 suffisait à fonder l'appartenance à une organisation criminelle et à justifier le prononcé de confiscation. Pour sa part, le recourant soutient que cette ordonnance de non-lieu est un fait nouveau propre à modifier l'état de fait et qu'elle est juridiquement pertinente.</w:t>
      </w:r>
    </w:p>
    <w:p>
      <w:r>
        <w:rPr>
          <w:b/>
        </w:rPr>
        <w:t>E. 5.1</w:t>
      </w:r>
    </w:p>
    <w:p>
      <w:r>
        <w:t>Selon l' art. 59 ch. 3 CP , le juge prononcera la confiscation de toutes les valeurs sur lesquelles une organisation criminelle exerce un pouvoir de disposition (1ère phrase). Les valeurs appartenant à une personne qui a participé ou apporté son soutien à une organisation criminelle (art. 260 ter) sont présumées soumises, jusqu'à preuve du contraire, au pouvoir de disposition de l'organisation (2e phrase). La confiscation de valeurs patrimoniales appartenant à une personne suppose donc que cette personne ait participé ou apporté son soutien à une organisation criminelle au sens de l' art. 260ter CP . La référence à cette dernière disposition indique clairement que la confiscation n'implique pas la preuve d'un lien avec l'infraction antérieure, mais suppose néanmoins un comportement antérieur punissable de la personne concernée (message du Conseil fédéral du 30 juin 1993, FF 1993 III 269 ss, 310). Est punissable en vertu de l' art. 260ter CP "celui qui aura participé à une organisation qui tient sa structure et son effectif secrets et qui poursuit le but de commettre des actes de violence criminels ou de se procurer des revenus par des moyens criminels" ainsi que "celui qui aura soutenu une telle organisation dans son activité criminelle". La notion d'organisation criminelle implique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 ATF 129 IV 271 consid. 2.3.1 p. 273 s.). Il faut en outre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 ATF 129 IV 271 consid. 2.3.1 p. 274). Enfin, l'organisation doit poursuivre le but de commettre des actes de violence criminels ou de se procurer des revenus par des moyens criminels. Le but criminel doit être le but propre de l'organisation, dont l'activité doit concerner pour l'essentiel - mais non pas exclusivement - la commission de crimes, c'est-à-dire d'infractions que le droit suisse qualifie de crimes (cf. art. 9 CP ) ( ATF 129 IV 271 consid. 2.3.1 p. 274).</w:t>
      </w:r>
    </w:p>
    <w:p>
      <w:r>
        <w:rPr>
          <w:b/>
        </w:rPr>
        <w:t>E. 5.2</w:t>
      </w:r>
    </w:p>
    <w:p>
      <w:r>
        <w:t>En l'espèce, l'arrêt du 27 août 1996 du Tribunal fédéral fonde la confiscation des avoirs du recourant essentiellement sur le complexe des faits décrits dans le jugement de condamnation définitif italien de novembre 1990. Selon l'arrêt fédéral, le réseau de trafiquants de drogue auquel appartenait le recourant correspondait à la notion d'organisation criminelle de l' art. 260ter CP . En effet, ce réseau, qui se livrait à un important trafic de cocaïne, présentait les caractéristiques d'une "organisation" au sens de cette disposition, tenait sa structure et son effectif secrets et avait pour but propre de se procurer des revenus par des moyens criminels, notamment par la commission d'infractions constitutives de crimes selon la loi fédérale sur les stupéfiants. La référence à l'acte d'accusation florentin du 3 août 1993 ne venait que confirmer la participation du recourant à cette organisation criminelle, mais ne constituait en aucun cas, aux yeux des juges fédéraux, le fondement de la confiscation, puisque les faits qui en ressortaient n'étaient pas prouvés, faute de jugement de condamnation définitif (arrêt p. 4 et 11). En conséquence, la décision de non-lieu du 13 juin 2003, qui libère le recourant des accusations portées contre lui dans la décision florentine du 3 août 1993, n'est pas propre à modifier la qualification des faits à la base de la décision de confiscation et ne constitue dès lors pas un élément sérieux au sens de l' art. 397 CP . Les conditions de la révision ne sont dès lors pas réunies. Le pourvoi doit ainsi être rejeté, sans qu'il soit nécessaire d'examiner les griefs relatifs aux autres conditions de la révision.</w:t>
      </w:r>
    </w:p>
    <w:p>
      <w:r>
        <w:rPr>
          <w:b/>
        </w:rPr>
        <w:t>E. 6</w:t>
      </w:r>
    </w:p>
    <w:p>
      <w:r>
        <w:t>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 II. Recours de droit public</w:t>
      </w:r>
    </w:p>
    <w:p>
      <w:r>
        <w:rPr>
          <w:b/>
        </w:rPr>
        <w:t>E. 7</w:t>
      </w:r>
    </w:p>
    <w:p>
      <w:r>
        <w:t>En tant que le litige a pour objet un refus d'entrer en matière sur une demande de révision et que ce refus pourrait être contraire à l' art. 397 CP , le recours de droit public permet de faire valoir que les faits ou moyens de preuve prétendument nouveaux, allégués ou offerts à l'appui de la demande, ont été arbitrairement considérés comme déjà invoqués devant le premier juge, ou arbitrairement considérés comme insuffisamment vraisemblables ou convaincants (cf. consid. 4.2; ATF 122 IV 66 consid. 2a p. 67).</w:t>
      </w:r>
    </w:p>
    <w:p>
      <w:r>
        <w:rPr>
          <w:b/>
        </w:rPr>
        <w:t>E. 8</w:t>
      </w:r>
    </w:p>
    <w:p>
      <w:r>
        <w:t>Le recourant soutient que l'ordonnance de non-lieu italienne constitue un fait nouveau et reproche à la Cour cantonale d'avoir méconnu, lors d'une appréciation anticipée des preuves, que ce fait était propre à modifier les constatations de fait sur lesquelles se fonde la confiscation. Lors de l'examen du pourvoi, il a été vu que la modification de l'état de fait (à savoir la suppression des faits survenus en 1989/1990) était sans pertinence sur la qualification juridique de l'organisation criminelle et ne pouvait conduire à l'annulation de la décision de confiscation. L'une des conditions de la révision, à savoir le caractère sérieux en droit, n'étant pas réalisée, la demande de révision doit être rejetée, sans qu'il soit nécessaire d'examiner les autres conditions de la révision. Les griefs relatifs à ces conditions doivent donc être rejetés.</w:t>
      </w:r>
    </w:p>
    <w:p>
      <w:r>
        <w:rPr>
          <w:b/>
        </w:rPr>
        <w:t>E. 9</w:t>
      </w:r>
    </w:p>
    <w:p>
      <w:r>
        <w:t>Le recours de droit public doit ainsi être rejeté. Comme le recours était d'emblée dépourvu de chances de succès, la requête d'assistance judiciaire doit être rejetée ( art. 152 al. 1 OJ ). Le recourant, qui succombe, doit supporter les frais ( art. 156 al. 1 OJ ), qui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