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6P.144/2000 vom 21. Februar 2001</w:t>
      </w:r>
    </w:p>
    <w:p>
      <w:r>
        <w:t>Bundesgericht, 2001-02-21, FR</w:t>
      </w:r>
    </w:p>
    <w:p>
      <w:r>
        <w:rPr>
          <w:b/>
        </w:rPr>
        <w:t xml:space="preserve">Quelle: </w:t>
      </w:r>
      <w:r>
        <w:t>https://mcp.opencaselaw.ch/entscheid/bger_6P.144_2000</w:t>
      </w:r>
    </w:p>
    <w:p>
      <w:r>
        <w:t>FR: TF 6P.144/2000 du 21 février 2001</w:t>
      </w:r>
    </w:p>
    <w:p>
      <w:r>
        <w:t>IT: TF 6P.144/2000 del 21 febbraio 2001</w:t>
      </w:r>
    </w:p>
    <w:p>
      <w:pPr>
        <w:pStyle w:val="Heading2"/>
      </w:pPr>
      <w:r>
        <w:t>Regeste</w:t>
      </w:r>
    </w:p>
    <w:p>
      <w:r>
        <w:t>Procédure</w:t>
      </w:r>
    </w:p>
    <w:p>
      <w:pPr>
        <w:pStyle w:val="Heading2"/>
      </w:pPr>
      <w:r>
        <w:t>Erwägungen</w:t>
      </w:r>
    </w:p>
    <w:p>
      <w:r>
        <w:rPr>
          <w:b/>
        </w:rPr>
        <w:t>E. 1</w:t>
      </w:r>
    </w:p>
    <w:p>
      <w:r>
        <w:t>a) La qualité pour former un recours de droit public s'apprécie en principe exclusivement sur la base de l' art. 88 OJ et de la jurisprudence y relative. Toutefois, lorsque le recourant est une victime au sens de l' art. 2 LAVI , il a qualité pour former un recours de droit public sur la base de l' art. 8 al. 1 let . c LAVI, aux conditions prévues par cette disposition (cf. ATF 120 IV 44 consid. 2a et b p. 49). Il est notamment nécessaire que la victime ait été partie à la procédure auparavant et que la sentence attaquée touche ses prétentions civiles ou puisse avoir des effets sur ces dernières. Touché dans son intégrité physique par l'accident, le recourant revêt la qualité de victime au sensde l' art. 2 LAVI et a participé à la procédure auparavant. En première comme en deuxième instance, il a demandé la réserve de ses prétentions civiles contre l'intimée. b) La jurisprudence exige que la victime ait pris des conclusions civiles sur le fond dans le cadre de la procédure pénale, pour autant que cela pouvait être raisonnablement exigé d'elle ( ATF 120 IV 44 consid. 4b p. 53 s.). Des conclusions civiles ne sont ainsi pas nécessaires lorsque le dommage n'est pas encore établi ou ne peut pas encore être chiffré ( ATF 121 IV 207 consid. 1a p. 210). Il incombe alors à la victime qui n'a pas pris de conclusions civiles d'expliquer quelles prétentions elle entend faire valoir et pourquoi elle n'a pas agi dans le cadre de la procédure pénale ( ATF 120 IV 44 consid. 8 p. 57 s.). Cette exigence découle de la conception de la LAVI qui a en particulier pour but de permettre à la victime de faire valoir ses prétentions dans la procédure pénale elle-même ( ATF 120 IV 44 consid. 4a p. 51 s.). Si elle n'est pas respectée, le Tribunal fédéral n'entre pas en matière. c) En l'espèce, alors que la procédure pénale a été menée jusqu'au stade du jugement, le recourant n'y a pas articulé de prétentions civiles et s'est limité à demander la réserve de ses droits; en d'autres termes, ila simplement signalé qu'il pourrait s'en prévaloir ultérieurement, dans une autre procédure. On ne saurait donc en déduire qu'il a pris des conclusions civiles sur le fond. En pareil cas, il lui incombait d'exposer, dansson recours de droit public, les raisons de son abstention, en particulier de dire en quoi le dommage n'était pas établi ou ne pouvait, en tout état, qu'être difficilement calculé. Or, bien qu'assisté d'un avocat, il ne s'explique nullement et, en l'absence de toute précision, on ne discerne rien qui l'empêchait de conclure sur le fond, au moins sur le principe de la responsabilité civile de l'intimée. Dans ces conditions, le recourant ne peut remettre en cause le prononcé pénal et son recours est irrecevable.</w:t>
      </w:r>
    </w:p>
    <w:p>
      <w:r>
        <w:rPr>
          <w:b/>
        </w:rPr>
        <w:t>E. 2</w:t>
      </w:r>
    </w:p>
    <w:p>
      <w:r>
        <w:t>Les frais doivent être mis à la charge du recourant qui succombe ( art. 156 al. 1 OJ ). Il n'y a pas lieu d'allouer une indemnité à l'intimée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