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6P.130/2005 vom 23. Januar 2006</w:t>
      </w:r>
    </w:p>
    <w:p>
      <w:r>
        <w:t>Bundesgericht, 2006-01-23, DE</w:t>
      </w:r>
    </w:p>
    <w:p>
      <w:r>
        <w:rPr>
          <w:b/>
        </w:rPr>
        <w:t xml:space="preserve">Quelle: </w:t>
      </w:r>
      <w:r>
        <w:t>https://mcp.opencaselaw.ch/entscheid/bger_6P.130_2005</w:t>
      </w:r>
    </w:p>
    <w:p>
      <w:r>
        <w:t>FR: TF 6P.130/2005 du 23 janvier 2006</w:t>
      </w:r>
    </w:p>
    <w:p>
      <w:r>
        <w:t>IT: TF 6P.130/2005 del 23 gennaio 2006</w:t>
      </w:r>
    </w:p>
    <w:p>
      <w:pPr>
        <w:pStyle w:val="Heading2"/>
      </w:pPr>
      <w:r>
        <w:t>Regeste</w:t>
      </w:r>
    </w:p>
    <w:p>
      <w:r>
        <w:t>Art. 9 BV (Strafverfahren; Willkür) | Verfahren</w:t>
      </w:r>
    </w:p>
    <w:p>
      <w:pPr>
        <w:pStyle w:val="Heading2"/>
      </w:pPr>
      <w:r>
        <w:t>Erwägungen</w:t>
      </w:r>
    </w:p>
    <w:p>
      <w:r>
        <w:rPr>
          <w:b/>
        </w:rPr>
        <w:t>E. 1</w:t>
      </w:r>
    </w:p>
    <w:p>
      <w:r>
        <w:t>Zu beurteilen ist einzig die Verhältnismässigkeit der Umwandlung der ambulanten Therapie in eine stationäre Massnahme nach vollständiger Strafverbüssung gemäss Art. 43 Ziff. 1 Abs. 1 und Ziff. 3 StGB . Die Vorinstanz erwägt, gestützt auf die Gutachten insbesondere der psychiatrischen Universitätsklinik Basel vom 26. Februar 2002 sowie vom 17. Februar 2003, den Arztbericht des forensisch-psychiatrischen Dienstes der Universität Bern (FPD) vom 9. März 2005 sowie die anlässlich der Hauptverhandlung vor erster Instanz vom 11. März 2005 gemachten Zeugenaussagen von Dr. med. A.________, FPD, dass der Beschwerdeführer bis heute nicht in der Lage bzw. bereit war, seine Verfehlungen aufzuarbeiten. Es mangle ihm an Einsicht in das Ausmass seiner Behandlungs- und Therapiebedürftigkeit. Er leide nach wie vor an einer dissozialen Persönlichkeitsstörung und bedürfe einer intensiven langfristigen therapeutischen Behandlung. Die Vollzugsbehörde habe die ambulante Massnahme wegen Erfolgslosigkeit eingestellt. Diese Einschätzung erweise sich namentlich mit Blick auf den Therapieverlauf als richtig. Aufgrund seiner Einsichtslosigkeit habe eine forensisch-psychiatrisch effiziente Therapie nicht durchgeführt werden können. Vom Beschwerdeführer gehe zwar keine Gemeingefahr (mehr) aus im Sinne einer hohen akuten Gefahr schwerwiegender Delikte gegen Drittpersonen. Allerdings bestehe noch immer eine ernsthafte Gefahr anderer Straftaten, insbesondere im Bereich von Vermögensdelikten. Der Beschwerdeführer müsse noch mehr an sich arbeiten und zumindest vermehrte Einsicht in die von ihm begangene Sexualstraftat und damit auch in sein Krankheitsbild erlangen. Vor diesem gesamten Hintergrund und angesichts der unbestrittenen Therapiebedürftigkeit des Beschwerdeführers erweise sich die Anordnung einer stationären Massnahme als verhältnismässig, um der Gefahr der Begehung weiterer Straftaten wirksam zu begegnen. Der Beschwerdeführer beurteilt die Umwandlung der ambulanten Therapie in eine stationäre Massnahme hingegen als unverhältnismässig und damit als unzulässig. Das ursprüngliche Strafurteil, welches einzig die Anordnung einer ambulanten Massnahme als zweckmässig erachtete, sei in Rechtskraft erwachsen. Er habe die ganze ihm auferlegte Strafe verbüsst. Die nachträgliche Änderung einer Massnahme nach vollständiger Strafverbüssung dürfe gemäss der Rechtsprechung des Bundesgerichts nur in klaren Ausnahmefällen angeordnet werden. Eine solche Ausnahmesituation liege hier nicht vor, zumal er die öffentliche Sicherheit weder damals noch heute in erheblicher Weise gefährde.</w:t>
      </w:r>
    </w:p>
    <w:p>
      <w:r>
        <w:rPr>
          <w:b/>
        </w:rPr>
        <w:t>E. 2</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den Täter in eine Heil- oder Pflegeanstalt einweisen lassen. Er kann ambulante Behandlung anordnen, sofern der Täter für Dritte nicht gefährlich ist. Gefährdet der Täter infolge seines Geisteszustandes die öffentliche Sicherheit in schwer wiegender Weise, so wird vom Richter seine Verwahrung angeordnet, wenn diese Massnahme notwendig ist, um ihn vor weiterer Gefährdung anderer abzuhalten ( Art. 43 Ziff. 1 Abs. 1 und 2 StGB ). Die verschiedenen Massnahmen nach Art. 43 StGB stehen in einem systematischen Zusammenhang und sind wechselseitig austauschbar, das heisst jede Massnahme kann nachträglich in eine andere oder erneut in eine gleichartige Massnahme umgewandelt werden ( BGE 123 IV 100 E. 3b; 106 IV 101 E. 2; 100 IV 12 E. 2b/c). Diese Flexibilität ermöglicht eine situations- und einzelfallgerechte Anwendung des komplexen Massnahmenrechts (Marianne Heer, Basler Kommentar, Strafgesetzbuch I, 2003, Art. 43 N. 208). Gemäss der Rechtsprechung des Bundesgerichts ist die Umwandlung einer ambulanten in eine stationäre Massnahme auch nach vollständiger Verbüssung der Strafe gestützt auf Art. 43 Ziff. 3 StGB zulässig ( BGE 128 I 184 E. 2.3.2; vgl. auch BGE 125 IV 225 E. 2; 123 IV 100 E. 3). Diese Auffassung wurde vom Kassationshof des Bundesgerichts in einem unveröffentlichten Entscheid vom 21. November 2003 (6S.265/2003 E. 4) nuanciert. Danach ist die Umwandlung einer ambulanten Therapie in eine stationäre Massnahme nach vollständiger Verbüssung der Strafe nur in klaren Ausnahmefällen und unter strenger Berücksichtigung des Verhältnismässigkeitsgebots zulässig. Eine solche Ausnahmesituation ist nach dem zitierten Entscheid etwa anzunehmen, wenn ein entlassener Straftäter nach dem Scheitern der Therapie die öffentliche Sicherheit in schwerer Weise gefährden würde und nur eine langfristige stationäre Behandlung die Rückfallgefahr vermindern könnte (so auch Urteil des Bundesgerichts vom 4. Juli 2005, 1P.359/2005 E.3.1.1; vgl. Heer, a.a.O., Art. 43 N. 216).</w:t>
      </w:r>
    </w:p>
    <w:p>
      <w:r>
        <w:rPr>
          <w:b/>
        </w:rPr>
        <w:t>E. 3</w:t>
      </w:r>
    </w:p>
    <w:p>
      <w:r>
        <w:t>Das Verhältnismässigkeitsprinzip umfasst drei Teilaspekte: Eine Massnahme muss geeignet sein,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Ausserdem muss zwischen dem Eingriff und dem angestrebten Zweck eine vernünftige Relation bestehen (vgl. BGE 118 IV 213 E. 2c/bb und cc im Zusammenhang mit Art. 42 StGB ; Günter Stratenwerth, Schweizerisches Strafrecht, Allgemeiner Teil II, Bern 1989, § 9 N. 20, Heer, a.a.O., Vor Art. 42 N. 26).</w:t>
      </w:r>
    </w:p>
    <w:p>
      <w:r>
        <w:rPr>
          <w:b/>
        </w:rPr>
        <w:t>E. 3.1</w:t>
      </w:r>
    </w:p>
    <w:p>
      <w:r>
        <w:t>Den Gutachten der psychiatrischen Universitätsklinik Basel ist zu entnehmen, dass der Beschwerdeführer an einer dissozialen Persönlichkeitsstörung leidet, welche ursächlich für die vielgestaltige und andauernde Delinquenz ist. Weiter geht daraus die Behandlungsbedürftigkeit und -fähigkeit des Beschwerdeführers hervor. Zwar sind die allgemeinen Therapiemöglichkeiten nach den gutachterlichen Ausführungen im Blick auf das vorliegende Störungsbild eines dissozialen Straftäters eingeschränkt. Bei entsprechender Selektion und fachlich richtig durchgeführter Behandlung gebe es aber Therapieansätze. Eine derartige Therapie sollte in einem hochstrukturierten Setting über einen Zeitraum von mehreren Jahren stattfinden und sei nur in gesicherten Verhältnissen vorstellbar. Kurzfristige therapeutische Interventionen reichten hingegen nicht aus, um die Störung des Beschwerdeführers positiv zu beeinflussen. Eine stationäre Massnahme nach Art. 43 StGB sei deshalb indiziert. Angesichts der klaren gutachterlichen Feststellungen ist davon auszugehen, dass nur eine langfristige stationäre Behandlung des Be-schwerdeführers die als ungünstig bewertete Legalprognose zu verbessern vermag. Die Anordnung einer stationären Massnahme erweist sich deshalb unter Eignungs- und Erforderlichkeitsgesichtspunkten als richtig. Der angefochtene Entscheid verletzt in dieser Hinsicht kein Bundesrecht.</w:t>
      </w:r>
    </w:p>
    <w:p>
      <w:r>
        <w:rPr>
          <w:b/>
        </w:rPr>
        <w:t>E. 3.2</w:t>
      </w:r>
    </w:p>
    <w:p>
      <w:r>
        <w:t>Schliesslich muss im Rahmen der Verhältnismässigkeitsprüfung ein vernünftiges Verhältnis zwischen Eingriffszweck und Eingriffswirkung gegeben sein. Dies bedeutet, dass die betroffenen Interessen gegeneinander abgewogen werden müssen, d.h. die Schwere des Eingriffs in die Freiheitsrechte des Betroffenen einerseits und dessen Behandlungsbedürftigkeit bzw. die Schwere sowie die Wahrscheinlichkeit künftiger Straftaten anderseits sind einander gegenüberzustellen (vgl. BGE 118 IV 213 E. 2c/bb und cc; Stefan Trechsel, Schweizerisches Strafgesetzbuch, Kurzkommentar, Zürich 1997, 2. Aufl., Vor Art. 42 N. 5a). Selbst eine geeignete und notwendige Massnahme kann sich dabei als übermässig erweisen, wenn der mit ihr verbundene Eingriff im Vergleich zur Bedeutung des angestrebten Ziels unangemessen schwer wiegt (Heer, a.a.O., Art. 43 N. 27). Die Umwandlung einer ambulanten Therapie in eine stationäre Massnahme nach vollständiger Strafverbüssung stellt einen schweren Eingriff in die persönliche Freiheit des Betroffenen dar (Heer, a.a.O., Art. 43 N. 216). Eine solche Umwandlung darf daher nicht schon angeordnet werden, wenn die Gefahr weiterer Straftaten droht, die für sich betrachtet die erstmalige Anordnung einer stationären Massnahme im Sinne von Art. 43 Ziff. 1 Abs. 1 StGB rechtfertigte. Vielmehr ist in dieser Hinsicht erforderlich, dass der Täter - nach Scheitern der Therapie - die öffentliche Sicherheit in schwerer Weise gefährden würde (vgl. Urteile des Bundesgerichts vom 21. November 2003, 6S.265/2003, E. 4.2 und vom 4. Juli 2005, 1P.395/2005 E. 3.1.1). Unter welchen Voraussetzungen eine Gefährdung der öffentlichen Sicherheit in schwer wiegender Weise anzunehmen ist, bestimmt sich nicht nur nach der Nähe und dem Ausmass der Gefahr, sondern auch nach der Art bzw. Bedeutung des gefährdeten Rechtsguts. Es muss das ernsthafte Risiko schwer wiegender Delinquenz bestehen, d.h. erst die hohe Wahrscheinlichkeit der Beeinträchtigung hochwertiger Rechtsgüter reicht für die Begründung der Gefährlichkeit eines Täters aus (vgl. BGE 127 IV 1 E. 2a; Heer, Einige Schwerpunkte des neuen Massnahmenrechts, in ZStrR 121/2003, S. 376 ff., 405). Aus den kantonalen Akten geht hervor, dass sich der Beschwerdeführer über einen Zeitraum von knapp zwei Jahrzehnten immer wieder strafbar gemacht hat. Seine zahlreichen Vorstrafen umfassen vorwiegend Vermögensdelikte sowie Verstösse gegen das Strassenverkehrs- sowie das Betäubungsmittelgesetz. Neben Delikten eher geringfügigen Charakters scheinen indes auch solche auf, die ein erhebliches Gewalt- und Aggressionspotential des Beschwerdeführers offenbaren, so insbesondere die von ihm teilweise bandenmässig verübten Raubüberfälle. Nicht zu übersehen ist in dieser Hinsicht allerdings, dass diese gegen das Vermögen gerichteten Gewaltdelikte bereits 14 - 16 Jahre zurückliegen. In die Kategorie der Aggressionsdelikte gehört auch die vom Beschwerdeführer im Jahre 1996 begangene Sexualstraftat. Von zwei weiteren Anschuldigungen wegen sexueller Nötigungsdelikte wurde der Beschwerdeführer freigesprochen. In Bezug auf die Fremdgefährlichkeit des Beschwerdeführers kommt die Vorinstanz nach Auseinandersetzung mit den Gutachten und dem Bericht der KGS unter Verweis auf die Ausführungen der ersten Instanz zusammenfassend zum Schluss, dass vom Beschwerdeführer keine Gemeingefahr im Sinne einer hohen akuten Gefahr schwer wiegender Delikte gegen Drittpersonen ausgeht. Es bestehe aber noch immer die ernsthafte Gefahr für Dritte bezüglich anderen, insbesondere Vermögensdelikten. Dass die Legalprognose des Beschwerdeführers nach wie vor als ungünstig zu bewerten ist, steht vorliegend ausser Frage. Die zu er-wartenden Taten - namentlich Vermögensdelikte - wiegen indes nicht derart schwer, dass von einer schwer wiegenden Gefährdung der öffentlichen Sicherheit ausgegangen werden könnte. Dies insbesondere deshalb nicht, weil die Gewalt- bzw. Aggressionsdelikte - namentlich die qualifizierten Raubüberfälle als auch die zu einer Verurteilung führende Sexualstraftat - zeitlich weit zurückliegen. Zu berücksichtigen ist in diesem Zusammenhang auch, dass sich der Beschwerdeführer von 1998 bis am 29. Mai 2002 in Freiheit befand und sich in dieser Zeit nicht strafbar machte. Vor dem Hintergrund, dass bei der Abänderung einer ambulanten in eine stationäre Massnahme nach vollständiger Strafverbüssung erhöhte Anforderungen an die Gefährlichkeit des Täters zu stellen sind, erweist sich der vorliegende Umwandlungsentscheid angesichts des schweren Eingriffs in die Freiheitsrechte des Beschwerdeführers und der zu erwartenden Taten als übermässig und damit bundesrechtswidrig.</w:t>
      </w:r>
    </w:p>
    <w:p>
      <w:r>
        <w:rPr>
          <w:b/>
        </w:rPr>
        <w:t>E. 3.3</w:t>
      </w:r>
    </w:p>
    <w:p>
      <w:r>
        <w:t>Die eidgenössische Nichtigkeitsbeschwerde ist aus diesem Grund gutzuheissen. Das angefochtene Urteil ist demnach aufzuheben und die Sache zur neuen Beurteilung an die Vorinstanz zurückzuweisen. II. Staatsrechtliche Beschwerde</w:t>
      </w:r>
    </w:p>
    <w:p>
      <w:r>
        <w:rPr>
          <w:b/>
        </w:rPr>
        <w:t>E. 4</w:t>
      </w:r>
    </w:p>
    <w:p>
      <w:r>
        <w:t>Mit der Aufhebung des angefochtenen Urteils in Gutheissung der eidgenössischen Nichtigkeitsbeschwerde, die aus prozessökonomischen Gründen ausnahmsweise vorrangig behandelt worden ist ( Art. 275 Abs. 5 BStP ), ist die staatsrechtliche Beschwerde gegenstandslos geworden. III. Kosten und Entschädigung</w:t>
      </w:r>
    </w:p>
    <w:p>
      <w:r>
        <w:rPr>
          <w:b/>
        </w:rPr>
        <w:t>E. 5</w:t>
      </w:r>
    </w:p>
    <w:p>
      <w:r>
        <w:t>Bei diesem Ausgang des Verfahrens der eidgenössischen Nichtigkeitsbeschwerde werden keine Kosten erhoben und dem obsiegenden Beschwerdeführer wird eine Entschädigung aus der Bundesgerichtskasse zugesprochen ( Art. 278 Abs. 3 Satz 1 BStP ). Damit wird das Gesuch um unentgeltliche Rechtspflege gegenstandslos. Für das gegenstandslos gewordene Verfahren der staatsrechtlichen Beschwerde werden keine Kosten erhoben und keine 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