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6P.11/2003 vom 16. April 2003</w:t>
      </w:r>
    </w:p>
    <w:p>
      <w:r>
        <w:t>Bundesgericht, 2003-04-16, FR</w:t>
      </w:r>
    </w:p>
    <w:p>
      <w:r>
        <w:rPr>
          <w:b/>
        </w:rPr>
        <w:t xml:space="preserve">Quelle: </w:t>
      </w:r>
      <w:r>
        <w:t>https://mcp.opencaselaw.ch/entscheid/bger_6P.11_2003</w:t>
      </w:r>
    </w:p>
    <w:p>
      <w:r>
        <w:t>FR: TF 6P.11/2003 du 16 avril 2003</w:t>
      </w:r>
    </w:p>
    <w:p>
      <w:r>
        <w:t>IT: TF 6P.11/2003 del 16 aprile 2003</w:t>
      </w:r>
    </w:p>
    <w:p>
      <w:pPr>
        <w:pStyle w:val="Heading2"/>
      </w:pPr>
      <w:r>
        <w:t>Regeste</w:t>
      </w:r>
    </w:p>
    <w:p>
      <w:r>
        <w:t>Questions de compétences, garantie du juge du domicile et du ...</w:t>
      </w:r>
    </w:p>
    <w:p>
      <w:pPr>
        <w:pStyle w:val="Heading2"/>
      </w:pPr>
      <w:r>
        <w:t>Erwägungen</w:t>
      </w:r>
    </w:p>
    <w:p>
      <w:r>
        <w:rPr>
          <w:b/>
        </w:rPr>
        <w:t>E. 1</w:t>
      </w:r>
    </w:p>
    <w:p>
      <w:r>
        <w:t>Aux termes de l' art. 87 al. 1 OJ , le recours de droit public est recevable contre les décisions préjudicielles et incidentes sur la compétence et sur les demandes de récusation, prises séparément; ces décisions ne peuvent être attaquées ultérieurement. Les demandes de récusation mentionnées à l' art. 87 al. 1 OJ sont en premier lieu celles visant un membre de l'autorité compétente (cf. ATF 126 I 207 consid. 1b p. 209); cette disposition doit également s'appliquer en cas de demande de récusation d'un expert judiciaire, pour lequel valent, mutatis mutandis, les exigences du droit constitutionnel et conventionnel en matière d'impartialité (cf. ATF 126 III 249 consid. 3c p. 253; 125 II 541 consid. 4a p. 544).</w:t>
      </w:r>
    </w:p>
    <w:p>
      <w:r>
        <w:rPr>
          <w:b/>
        </w:rPr>
        <w:t>E. 2</w:t>
      </w:r>
    </w:p>
    <w:p>
      <w:r>
        <w:t>Invoquant une violation de l' art. 29 Cst. , le recourant prétend que plusieurs éléments commanderaient la récusation de l'experte. Certains de ses propos laisseraient penser qu'elle n'envisage pas la possibilité d'un véritable abus. Elle ne présenterait en outre pas toute la sérénité requise, eu égard à la médiatisation de l'affaire.</w:t>
      </w:r>
    </w:p>
    <w:p>
      <w:r>
        <w:rPr>
          <w:b/>
        </w:rPr>
        <w:t>E. 2.1</w:t>
      </w:r>
    </w:p>
    <w:p>
      <w:r>
        <w:t>Le cas de récusation d'un expert ne s'examine pas au regard de l' art. 30 al. 1 Cst. , qui concerne l'autorité judiciaire, mais sous l'angle de l' art. 29 al. 1 Cst. garantissant l'équité du procès ( ATF 125 II 541 consid. 4a p. 544). S'agissant des exigences d'impartialité et d'indépendance, l' art. 29 al. 1 Cst. assure au justiciable une protection équivalente à celle de l' art. 30 al. 1 Cst. ( ATF 127 I 196 consid. 2b p. 198/199). Selon l' art. 30 al. 1 Cst. , toute personne a droit à ce que sa cause soit entendue par un tribunal établi par la loi, compétent, indépendant et impartial, c'est-à-dire par des juges qui offrent la garantie d'une appréciation parfaitement objective de la cause ( ATF 127 I 196 consid. 2b p. 198; 126 I 68 consid. 3a p. 73; 123 I 49 consid. 2b p. 51). Des circonstances extérieures au procès ne doivent pas influer sur le jugement d'une manière qui ne serait pas objective, en faveur ou au préjudice d'une partie, car celui qui se trouve sous de telles influences ne peut être un "juste médiateur" ( ATF 125 I 209 consid. 8a p. 217; 124 I 121 consid. 3a p. 123).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124 I 121 consid. 3a p. 123/124; 122 I 18 consid. 2b/bb p. 24; 120 Ia 184 consid. 2b p. 187). Les mêmes principes valent, mutatis mutandis, pour la récusation de l'expert, au regard de l' art. 29 al. 1 Cst.</w:t>
      </w:r>
    </w:p>
    <w:p>
      <w:r>
        <w:rPr>
          <w:b/>
        </w:rPr>
        <w:t>E. 2.2</w:t>
      </w:r>
    </w:p>
    <w:p>
      <w:r>
        <w:t>Le recourant reproche à l'experte l'utilisation répétitive de guillemets et déduit en particulier des termes "fellation toute naturelle" utilisés dans un écrit du 25 novembre 2002 qu'elle n'envisage elle-même pas la possibilité d'un véritable abus. Il n'y a pas lieu d'entrer en matière sur une argumentation aussi évasive, qui ne satisfait nullement aux exigences minimales posées par l' art. 90 al. 1 let. b OJ ( ATF 127 I 38 consid. 3c p. 43; 126 III 534 consid. 1b p. 536). Au demeurant, la Chambre pénale a exposé que l'experte s'était inscrite en faux contre l'assertion de prévention en expliquant de manière convaincante que la pensée psychanalytique consiste à accepter à la fois l'existence du fantasme et celle du traumatisme lié à l'abus sexuel, de manière à pouvoir être capable de distinguer sur le plan clinique ces deux ordres de réalité souvent enchevêtrés. Rien n'autorise donc à penser que les propos de l'experte mis en avant par le recourant supposeraient objectivement une apparence de prévention.</w:t>
      </w:r>
    </w:p>
    <w:p>
      <w:r>
        <w:rPr>
          <w:b/>
        </w:rPr>
        <w:t>E. 2.3</w:t>
      </w:r>
    </w:p>
    <w:p>
      <w:r>
        <w:t>Le recourant affirme encore que l'experte ne disposerait pas de la sérénité suffisante en raison de la médiatisation de l'affaire. Il invoque à ce sujet un courrier du juge d'instruction du 7 octobre 2002, dont il ressort que l'experte lui a signalé que "toute médiatisation de cette affaire ne pourrait que contrarier voire compromettre la bonne exécution de son mandat". De la phrase citée, rien ne suppose que l'experte ne pourrait pas en toute sérénité connaître du mandat confié. L'extrapolation du recourant à ce sujet est inapte à éveiller une impression de partialité. Encore faut-il relever que dans le courrier du 7 octobre 2002, à la suite de la phrase invoquée, il est indiqué qu'une médiatisation aurait pour effet d'affecter les enfants dont l'audition est prévue et d'engendrer chez eux un repli sur soi peu propice à la manifestation de la vérité. La réserve ainsi exprimée participe d'un souci légitime. Aucun des éléments exposés par le recourant ne peut objectivement et raisonnablement être considéré comme justifiant une quelconque méfiance à l'égard de l'experte. Supposée recevable, la critique est dépourvue de fondement.</w:t>
      </w:r>
    </w:p>
    <w:p>
      <w:r>
        <w:rPr>
          <w:b/>
        </w:rPr>
        <w:t>E. 3</w:t>
      </w:r>
    </w:p>
    <w:p>
      <w:r>
        <w:t>Dans un autre grief, le recourant se plaint d'une atteinte à son intégrité psychique, garantie par l' art. 10 al. 2 Cst. Il affirme que l'expertise de crédibilité ordonnée et les auditions répétées de l'enfant qu'elle implique sont de nature à lui créer un préjudice important (victimisation secondaire). Il précise l'atteinte invoquée en se référant à des normes cantonales de procédure ainsi qu'à la LAVI, spécialement l'art. 10c. Cette disposition, en vigueur depuis le 1er octobre 2002, prévoit que l'enfant victime ne doit en principe pas être entendu plus de deux fois durant l'ensemble de la procédure. En l'occurrence, les moyens du recourant reviennent à critiquer l'interprétation et l'application faite par l'autorité cantonale de l' art. 10c LAVI , question de droit fédéral. Une telle question ne saurait être abordée dans un recours de droit public lorsque la voie du pourvoi en nullité est ouverte ( art. 84 al. 2 OJ et 269 al. 1 PPF). Tel est le cas ici et le recourant a d'ailleurs formé un pourvoi en nullité parallèle dans lequel il s'est prévalu d'une violation de l' art. 10c LAVI . Le présent grief est par conséquent irrecevable.</w:t>
      </w:r>
    </w:p>
    <w:p>
      <w:r>
        <w:rPr>
          <w:b/>
        </w:rPr>
        <w:t>E. 4</w:t>
      </w:r>
    </w:p>
    <w:p>
      <w:r>
        <w:t>Le recourant supporte les frais de la procédure ( art. 156 al. 1 OJ ). Il n'y a pas lieu d'allouer d'indemnité à l'intimé, qui n'a pas été invité à se déterminer dans la procédure relative au recours de droit public.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