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6P.117/2005 vom 8. Februar 2006</w:t>
      </w:r>
    </w:p>
    <w:p>
      <w:r>
        <w:t>Bundesgericht, 2006-02-08, FR</w:t>
      </w:r>
    </w:p>
    <w:p>
      <w:r>
        <w:rPr>
          <w:b/>
        </w:rPr>
        <w:t xml:space="preserve">Quelle: </w:t>
      </w:r>
      <w:r>
        <w:t>https://mcp.opencaselaw.ch/entscheid/bger_6P.117_2005</w:t>
      </w:r>
    </w:p>
    <w:p>
      <w:r>
        <w:t>FR: TF 6P.117/2005 du 8 février 2006</w:t>
      </w:r>
    </w:p>
    <w:p>
      <w:r>
        <w:t>IT: TF 6P.117/2005 del 8 febbraio 2006</w:t>
      </w:r>
    </w:p>
    <w:p>
      <w:pPr>
        <w:pStyle w:val="Heading2"/>
      </w:pPr>
      <w:r>
        <w:t>Regeste</w:t>
      </w:r>
    </w:p>
    <w:p>
      <w:r>
        <w:t>Confiscation (art. 59 CP)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Selon l' art. 88 OJ , ont qualité pour recourir les particuliers lésés par des décisions qui les concernent personnellement. Titulaire du compte visé, le recourant a donc qualité pour agir.</w:t>
      </w:r>
    </w:p>
    <w:p>
      <w:r>
        <w:rPr>
          <w:b/>
        </w:rPr>
        <w:t>E. 1.3</w:t>
      </w:r>
    </w:p>
    <w:p>
      <w:r>
        <w:t>Produite après l'échéance du délai, la lettre du 1er novembre 2005 est irrecevable.</w:t>
      </w:r>
    </w:p>
    <w:p>
      <w:r>
        <w:rPr>
          <w:b/>
        </w:rPr>
        <w:t>E. 2</w:t>
      </w:r>
    </w:p>
    <w:p>
      <w:r>
        <w:t>Le recourant se plaint de la violation du droit d'être entendu.</w:t>
      </w:r>
    </w:p>
    <w:p>
      <w:r>
        <w:rPr>
          <w:b/>
        </w:rPr>
        <w:t>E. 2.1</w:t>
      </w:r>
    </w:p>
    <w:p>
      <w:r>
        <w:t>Le droit d'être entendu, garanti à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129 I 232 consid. 3.2 p. 236; 126 I 97 consid. 2b p. 102). Cette garantie tend à assurer une décision compréhensible pour son destinataire (Corboz, La motivation de la peine, RJB 131 (1995), p. 1 ss, spéc. p. 5).</w:t>
      </w:r>
    </w:p>
    <w:p>
      <w:r>
        <w:rPr>
          <w:b/>
        </w:rPr>
        <w:t>E. 2.2</w:t>
      </w:r>
    </w:p>
    <w:p>
      <w:r>
        <w:t>Le Tribunal correctionnel de l'arrondissement de Lausanne a motivé sa décision de confiscation des avoirs déposés sur le compte du recourant de la manière suivante (jugement du Tribunal correctionnel, p. 39 s.): "Deux témoins ont déclaré que U.________ était un homme d'affaires honorablement connu. En particulier, le témoin W.________ a attesté que U.________ faisait avec lui le commerce de margarine à destination du Nigeria. Il a confirmé que le bordereau de pièces produit la veille de l'audience par le conseil de U.________ correspondait à la réalité. Le Tribunal ne conteste pas que U.________ ait une réelle activité commerciale. Toutefois, celui-ci n'a en aucune manière démontré que les montants encaissés sur le compte Z.________ et versés par X.________ provenaient de son activité commerciale. A cet égard, U.________, par son conseil, car il ne s'est pas présenté personnellement aux débats, a donné la même explication mutatis mutandis que X.________. Il ignore qui verse de l'argent sur son compte Z.________ vu le complexe circuit financier qui fait que des dollars doivent être achetés à des tiers inconnus pour payer les transactions commerciales. Cette explication ne résiste pas à l'examen quand on constate qu'il ne s'agit pas d'un ou deux versements isolés, mais d'une part qu'il y a convergence de fonds versés de sources différentes (escroqueries "suisses" et "espagnoles") et que pas moins de 14 montants ont été versés depuis l'Espagne sur le compte Z.________ entre le 28 avril 2002 et le 28 avril 2003. En outre, X.________ et U.________ se connaissent, bien qu'ils le nient tous les deux. Il suffit de constater à cet égard que l'accusé a indiqué le nom de U.________ sur des fausses quittances de change comme la personne lui ayant remis des Nairas à changer. En définitive, les fonds ayant été encaissés par U.________ en connaissance de cause et sans contre-prestations, ils doivent être confisqués". Statuant sur le recours en nullité formé par le recourant, la Cour de cassation vaudoise a constaté que "c'est par une correcte appréciation des preuves que les premiers juges ont acquis la conviction que ces fonds étaient d'origine criminelle" (arrêt attaqué, p. 18). Dans le cadre du recours en réforme, elle a ajouté qu'"il résulte de l'état de fait que les fonds séquestrés puis confisqués n'ont pas été versés sur le compte en question à l'insu de son titulaire. Ce dernier a du reste allégué, sans parvenir à l'établir, qu'il avait fourni une contre-prestation, thèse rejetée avec raison par les premiers juges" (arrêt attaqué, p. 20).</w:t>
      </w:r>
    </w:p>
    <w:p>
      <w:r>
        <w:rPr>
          <w:b/>
        </w:rPr>
        <w:t>E. 2.3</w:t>
      </w:r>
    </w:p>
    <w:p>
      <w:r>
        <w:t>La motivation des autorités cantonales pour fonder la confiscation des avoirs du recourant n'est cependant pas suffisante, dès lors que celles-ci ne se prononcent pas sur les trois arguments suivants. Premièrement, le recourant soutient qu'il aurait dû utiliser le système de change parallèle. En deuxième lieu, il fait valoir qu'il aurait ainsi fourni une contre-prestation; à cet égard, il produit des documents et affirme avoir transféré à une banque les sommes correspondantes en nairas en vue de leur conversion en dollars. Troisièmement, il conteste que l'on puisse conclure d'une fausse quittance qu'il a connu X.________ et qu'il serait de mauvaise foi. A défaut d'explications sur ces trois points, il n'est pas possible de déterminer si les conditions de l' art. 59 ch. 1 CP sont réalisées, de sorte que les autorités cantonales ont violé le droit d'être entendu du recourant. En outre, ces dernières ont renversé le fardeau de la preuve, en ce sens qu'elles semblent partir de l'idée que le recourant aurait dû démontrer lui-même qu'il avait fourni une contre-prestation et qu'il était de bonne foi (jugement du Tribunal correctionnel, p. 39; arrêt attaqué, p. 20). Or, même si le tiers ne peut invoquer la présomption d'innocence, il appartient à l'Etat de prouver que toutes les conditions pour prononcer une confiscation contre un tiers sont remplies (cf. Schmid, Kommentar, Einziehung, Organisiertes Verbrechen, Geldwäscherei, vol. I, Zurich 1998, n. 96, art. 59).</w:t>
      </w:r>
    </w:p>
    <w:p>
      <w:r>
        <w:rPr>
          <w:b/>
        </w:rPr>
        <w:t>E. 3</w:t>
      </w:r>
    </w:p>
    <w:p>
      <w:r>
        <w:t>Le recours de droit public doit être admis pour ces motifs, sans qu'il soit nécessaire d'examiner les autres griefs soulevés par le recourant. Comme le recourant a obtenu gain de cause, il ne sera pas perçu de frais et le canton de Vaud lui versera une indemnité à titre de dépens. II. Pourvoi en nullité</w:t>
      </w:r>
    </w:p>
    <w:p>
      <w:r>
        <w:rPr>
          <w:b/>
        </w:rPr>
        <w:t>E. 4</w:t>
      </w:r>
    </w:p>
    <w:p>
      <w:r>
        <w:t>L'arrêt attaqué étant annulé, le pourvoi n'a plus d'objet.</w:t>
      </w:r>
    </w:p>
    <w:p>
      <w:r>
        <w:rPr>
          <w:b/>
        </w:rPr>
        <w:t>E. 5</w:t>
      </w:r>
    </w:p>
    <w:p>
      <w:r>
        <w:t>Conformément à la pratique, il n'est ni prélevé de frais ni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