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6P.113/1999 vom 24. Februar 2000</w:t>
      </w:r>
    </w:p>
    <w:p>
      <w:r>
        <w:t>Bundesgericht, 2000-02-24, FR</w:t>
      </w:r>
    </w:p>
    <w:p>
      <w:r>
        <w:rPr>
          <w:b/>
        </w:rPr>
        <w:t xml:space="preserve">Quelle: </w:t>
      </w:r>
      <w:r>
        <w:t>https://mcp.opencaselaw.ch/entscheid/bger_6P.113_1999</w:t>
      </w:r>
    </w:p>
    <w:p>
      <w:r>
        <w:t>FR: TF 6P.113/1999 du 24 février 2000</w:t>
      </w:r>
    </w:p>
    <w:p>
      <w:r>
        <w:t>IT: TF 6P.113/1999 del 24 febbraio 2000</w:t>
      </w:r>
    </w:p>
    <w:p>
      <w:pPr>
        <w:pStyle w:val="Heading2"/>
      </w:pPr>
      <w:r>
        <w:t>Regeste</w:t>
      </w:r>
    </w:p>
    <w:p>
      <w:r>
        <w:t>Procédure</w:t>
      </w:r>
    </w:p>
    <w:p>
      <w:pPr>
        <w:pStyle w:val="Heading2"/>
      </w:pPr>
      <w:r>
        <w:t>Erwägungen</w:t>
      </w:r>
    </w:p>
    <w:p>
      <w:r>
        <w:rPr>
          <w:b/>
        </w:rPr>
        <w:t>E. 27</w:t>
      </w:r>
    </w:p>
    <w:p>
      <w:r>
        <w:t>janvier 1992, p. 36), et que le principe de l'interdiction de la reformatio in pejus s'appliquait en appel ( art. 192 ch. 2 CPP /VS). Dans ces circonstances, le recourant doit supporter les conséquences de son comportement abusif durant la procédure d'appel. Le grief soulevé est infondé dans la mesure où il est recevable. 3.- Le recourant se plaint d'une application arbitraire des art. 49 et 125 CPP /VS faute d'avoir été assisté d'un avocat lors des débats devant la Cour d'appel. L' art. 49 ch. 2 CPP /VS accorde au prévenu le droit de se pourvoir d'un défenseur en tout état de cause; l' art. 49 ch. 3 CPP /VS prescrit que dans certaines causes, le prévenu doit nécessairement être assisté d'un défenseur. Quant à l' art. 125 ch. 1 CPP /VS aussi applicable en appel ( art. 191 ch. 1 CPP/VS), il prévoit que le tribunal ajourne les débats lorsque le défenseur ne se présente pas alors que sa présence est requise. Il découle en principe de ces dispositions cantonales que des débats d'appel ne peuvent pas avoir lieu en l'absence du défenseur du recourant. Toutefois, la réserve de l'abus de droit vaut aussi à leur égard ( ATF 125 IV 79 consid. 1b p. 81). L'abus du recourant étant, pour les motifs précités, manifeste, la Cour d'appel pouvait procéder aux débats nonobstant l'absence de défenseur. Le grief est infondé. 4.- Le recourant se plaint d'une violation de l' art. 6 par. 3 let. b CEDH et de l' art. 14 Pacte ONU II (RS 0.103.2), dans la mesure où, à la suite du refus de reporter les débats à l'automne 1999, il n'aurait pas disposé du temps et des facilités nécessaires à la préparation de sa défense. L' art. 14 par. 3 let. b Pacte ONU II garantit à l'accusé de disposer du temps et des facilités nécessaires à la préparation de sa défense. Cette garantie est équivalente à celle découlant de l' art. 6 par. 3 let. b CEDH ; il n'en découle pas de droits plus larges ( ATF 122 I 109 consid. 3c p. 114). En l'espèce, le dossier de la cause et le jugement du Tribunal d'arrondissement ont certes une ampleur tout à fait exceptionnelle. Mais Me GG.________, mandaté le 2 avril 1993, a défendu le recourant durant l'instruction et la procédure de première instance; il connaissait donc bien le dossier. Le 24 septembre 1998, il a déposé une déclaration d'appel motivée de 66 pages; à défaut d'appel de la part du Ministère public, la procédure d'appel ne portait que sur les points soulevés par le recourant ( art. 189 ch. 2 CPP/VS; Bulletin des séances du Grand Conseil du Canton du Valais, séance du 27 janvier 1992, p. 36). Le 28 janvier 1999, le président de la Cour d'appel a fixé les débats au 26 avril 1999, soit trois mois plus tard et sept mois après le dépôt de la déclaration d'appel. Dans son arrêt du 22 avril 1999 (1P.207/1999), le Tribunal fédéral a relevé mal comprendre comment Me GG.________ pouvait prétendre ne pas avoir disposé de suffisamment de temps pour préparer la défense du recourant et a retenu que le comportement de celui-ci pouvait objectivement apparaître comme abusif et dilatoire. En l'espèce, le recourant se contente d'affirmer sans autre démonstration que le temps à disposition était insuffisant et de citer des passages de doctrine que personne ne conteste d'ailleurs. Mais il n'apporte aucun élément propre à réviser l'appréciation précitée, qui est convaincante. Au contraire, l'abus du droit qu'il a commis au début des débats en relation avec le droit à un défenseur la conforte. Le seul élément concret que le recourant articule est le soupçon qu'on ait à tout prix voulu, vu la "portée socio-politique" de la cause, "classer" le dossier au niveau cantonal avant les élections fédérales de l'automne. Cela n'a rien à voir avec la question de savoir s'il a suffisamment eu de temps à disposition pour préparer sa défense. Pour l'essentiel, il s'agissait de préparer la plaidoirie. Vu la connaissance détaillée du dossier que possédait Me GG.________ et eu égard à la déclaration d'appel circonstanciée déposée par celui-ci, un délai de trois mois dès réception de la citation à comparaître respectivement de sept mois dès le dépôt de la déclaration d'appel était suffisant pour ce faire. Le grief est infondé. 5.- Le recourant se plaint d'une violation de l' art. 6 par. 3 let . c CEDH pour violation du droit de se défendre ou d'avoir recours à un avocat; dans sa motivation, il se plaint toutefois uniquement du fait qu'il ne lui a pas été permis de se constituer un second défenseur. Selon cette disposition, l'accusé a le droit à l'assistance d'un défenseur (respectivement à une "legal assistance" selon le texte anglais auquel se réfère le recourant). Selon une décision de la Commission euro- péenne des Droits de l'Homme portant sur la limitation du nombre des défenseurs, l' art. 6 par. 3 let . c CEDH, malgré son texte anglais plus indéfini, accorde à l'accusé, pour autant que de besoin, le soutien "d'un" professionnel indépendant ("assistance of an independent professional") afin d'assurer le respect effectif du contradictoire (Décisions et rapports, vol. 14, n. 19, p. 89 et 114). Cette disposition ne donne donc pas un droit à être assisté de plusieurs avocats et le droit national peut limiter leur nombre (Theo Vogler, Internationaler Kommentar zur EMRK, art. 6 n. 519, p. 203; Stefan Trechsel, Die Verteidigungsrechte in der Praxis zur EMRK, RPS 96/1979, p. 358). Les passages de doctrine cités par le recourant ne disent pas autre chose. Le grief est infondé dans la mesure où il est recevable. Au surplus, il sied de relever que Me GG.________ a assumé seul la défense du recourant jusqu'au dépôt de la déclaration d'appel, sans jamais objecter qu'il n'était pas en mesure de le faire. Dès lors qu'il avait déposé une déclaration d'appel détaillée, que le Ministère public n'avait pour sa part pas recouru, que la Cour d'appel ne pouvait pas revoir, en défaveur du recourant, des points non remis en cause dans sa déclaration de recours ( art. 189 ch. 2 CPP/VS; Bulletin des séances du Grand Conseil du Canton du Valais, séance du 27 janvier 1992, p. 36) et que le principe de l'interdiction de la reformatio in pejus s'appliquait ( art. 192 ch. 2 CPP /VS), il est manifeste que la présence d'un second avocat aux côtés de Me GG.________ pour préparer et présenter la plaidoirie devant la Cour d'appel n'était pas nécessaire. 6.- Le recourant se plaint d'une violation de l' art. 14 Pacte ONU II dès lors qu'il ne lui a pas été permis de se défendre en ayant recours à un avocat et de se constituer un second défenseur; il ne motive toutefois que le second grief relatif au droit à un second avocat. L' art. 14 par. 3 let . d Pacte ONU II garantit à l'accusé le droit à avoir l'assistance d'un avocat. Cette disposition accorde une garantie équivalente à celle découlant de l' art. 6 par. 3 let . c CEDH; il n'en découle pas de droits plus larges ( ATF 122 I 109 consid. 3c p. 114; 120 Ia 247 consid. 5b p. 255). Le grief est dès lors également infondé dans la mesure où il est recevable. 7.- Pour le motif qu'il ne lui a pas été permis de se constituer un second défenseur, le recourant invoque encore une violation de l' art. 4 aCst. Le droit d'être entendu, garanti par l' art. 4 aCst. , implique la possibilité de mandater un défenseur ( ATF 120 Ia 247 consid. 3a p. 250); à cet égard, l' art. 32 al. 2 Cst. (entré en vigueur le 1er janvier 2000 [RO 1999 2555]) ne confère pas plus de droit (FF 1987 I 189). Mais il ne donne pas un droit inconditionnel et illimité à se faire assister par plusieurs défenseurs. Pour le motif déjà qu'un second défenseur n'était pas nécessaire en l'espèce pour garantir une défense suffisante, l' art. 4 aCst. n'a pas été violé. Les garanties procédurales qu'offre l' art. 4 aCst. ont d'ailleurs une portée équivalente à celles des art. 6 CEDH et 14 Pacte ONU II ( ATF 122 I 109 consid. 3c p. 114). Le grief est infondé.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