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6F_8/2019 vom 16. April 2019</w:t>
      </w:r>
    </w:p>
    <w:p>
      <w:r>
        <w:t>Bundesgericht, 2019-04-16, DE</w:t>
      </w:r>
    </w:p>
    <w:p>
      <w:r>
        <w:rPr>
          <w:b/>
        </w:rPr>
        <w:t xml:space="preserve">Quelle: </w:t>
      </w:r>
      <w:r>
        <w:t>https://mcp.opencaselaw.ch/entscheid/bger_6F_8_2019</w:t>
      </w:r>
    </w:p>
    <w:p>
      <w:r>
        <w:t>FR: TF 6F_8/2019 du 16 avril 2019</w:t>
      </w:r>
    </w:p>
    <w:p>
      <w:r>
        <w:t>IT: TF 6F_8/2019 del 16 aprile 2019</w:t>
      </w:r>
    </w:p>
    <w:p>
      <w:pPr>
        <w:pStyle w:val="Heading2"/>
      </w:pPr>
      <w:r>
        <w:t>Erwägungen</w:t>
      </w:r>
    </w:p>
    <w:p>
      <w:r>
        <w:rPr>
          <w:b/>
        </w:rPr>
        <w:t>E. 1</w:t>
      </w:r>
    </w:p>
    <w:p>
      <w:r>
        <w:t>Das Obergericht des Kantons Bern trat am 18. Januar 2019 auf eine Beschwerde des Gesuchstellers nicht ein. Auf die vom Gesuchsteller dagegen gerichtete Beschwerde in Strafsachen trat das Bundesgericht am 5. März 2019 nicht ein (Urteil 6B_251/2019).</w:t>
      </w:r>
    </w:p>
    <w:p>
      <w:r>
        <w:t>Der Gesuchsteller ersucht am 13. März 2019 um Revision des bundesgerichtlichen Urteils vom 5. März 2019.</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6F_10/2018 vom 8. Mai 2018 E. 2).</w:t>
      </w:r>
    </w:p>
    <w:p>
      <w:r>
        <w:rPr>
          <w:b/>
        </w:rPr>
        <w:t>E. 3</w:t>
      </w:r>
    </w:p>
    <w:p>
      <w:r>
        <w:t>Das Bundesgericht fällte am 5. März 2019 einen Nichteintretensentscheid, weil die Beschwerde keine den Anforderungen von Art. 42 Abs. 2 und Art. 106 Abs. 2 BGG genügende Begründung enthielt. Diese formellrechtliche Würdigung der seinerzeitigen Beschwerdeschrift lässt sich als solche im Revisionsverfahren nicht überprüfen. Der Gesuchsteller zeigt in seiner Eingabe vom 13. März 2019 nicht ansatzweise auf,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4</w:t>
      </w:r>
    </w:p>
    <w:p>
      <w:r>
        <w:t>Das Gesuch um unentgeltliche Rechtspflege ist wegen Aussichtslosigkeit der Rechtsbegehren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