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6F_6/2025 vom 14. März 2025</w:t>
      </w:r>
    </w:p>
    <w:p>
      <w:r>
        <w:t>Bundesgericht, 2025-03-14, FR</w:t>
      </w:r>
    </w:p>
    <w:p>
      <w:r>
        <w:rPr>
          <w:b/>
        </w:rPr>
        <w:t xml:space="preserve">Quelle: </w:t>
      </w:r>
      <w:r>
        <w:t>https://mcp.opencaselaw.ch/entscheid/bger_6F_6_2025</w:t>
      </w:r>
    </w:p>
    <w:p>
      <w:r>
        <w:t>FR: TF 6F_6/2025 du 14 mars 2025</w:t>
      </w:r>
    </w:p>
    <w:p>
      <w:r>
        <w:t>IT: TF 6F_6/2025 del 14 marzo 2025</w:t>
      </w:r>
    </w:p>
    <w:p>
      <w:pPr>
        <w:pStyle w:val="Heading2"/>
      </w:pPr>
      <w:r>
        <w:t>Erwägungen</w:t>
      </w:r>
    </w:p>
    <w:p>
      <w:r>
        <w:rPr>
          <w:b/>
        </w:rPr>
        <w:t>E. 1</w:t>
      </w:r>
    </w:p>
    <w:p>
      <w:r>
        <w:t>Les deux demandes de révision ont pour objet les mêmes décisions. Elles ont trait au même complexe de faits et portent dans une large mesure sur les mêmes questions de droit. Il y a lieu de joindre les causes et de les traiter dans un seul arrêt ( art. 24 al. 2 PCF et 71 LTF).</w:t>
      </w:r>
    </w:p>
    <w:p>
      <w:r>
        <w:t>I. Demande de révision de A.________ (requérant 1)</w:t>
      </w:r>
    </w:p>
    <w:p>
      <w:r>
        <w:rPr>
          <w:b/>
        </w:rPr>
        <w:t>E. 2.1</w:t>
      </w:r>
    </w:p>
    <w:p>
      <w:r>
        <w:t>La révision des arrêts du Tribunal fédéral ne peut être requise que pour l'un des motifs énoncés de manière exhaustive aux art. 121 ss LTF ( ATF 147 III 238 consid. 1.1).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6F_24/2024 du 14 novembre 2024 consid. 2.3; 6F_17/2024 du 25 septembre 2024 consid. 2.2; 6F_14/2024 du 24 septembre 2024 consid. 1).</w:t>
      </w:r>
    </w:p>
    <w:p>
      <w:r>
        <w:rPr>
          <w:b/>
        </w:rPr>
        <w:t>E. 2.2</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des preuves administrées ou de la portée juridique des faits établis. La révision n'entre pas non plus en considération lorsque le tribunal n'a pas pris en compte un fait qu'il tenait pour non pertinent car ce refus (appréciation de la pertinence) relève du droit. Ainsi, le tribunal commet une inadvertance s'il ignore ou déforme involontairement une constatation de fait qui le lie ou s'il transcrit incomplètement une pièce du dossier et se met en contradiction avec celle-ci ( ATF 122 II 17 consid. 3; arrêt 6F_27/2018 du 26 octobre 2018 consid. 1.1; 6F_14/2018 du 20 septembre 2018 consid. 1.1; CHRISTIAN DENYS, Commentaire de la LTF, 3</w:t>
      </w:r>
    </w:p>
    <w:p>
      <w:r>
        <w:t>e éd. 2022, n° 21 à 23</w:t>
      </w:r>
    </w:p>
    <w:p>
      <w:r>
        <w:t>ad</w:t>
      </w:r>
    </w:p>
    <w:p>
      <w:r>
        <w:t>art. 121 LTF ).</w:t>
      </w:r>
    </w:p>
    <w:p>
      <w:r>
        <w:rPr>
          <w:b/>
        </w:rPr>
        <w:t>E. 3</w:t>
      </w:r>
    </w:p>
    <w:p>
      <w:r>
        <w:t>En l'espèce, l'écriture du requérant 1, qui s'avère difficilement intelligible, ne comporte aucune motivation topique, conforme aux exigences en la matière, tendant à démontrer en quoi un motif de révision serait en l'espèce réalisé. Bien qu'il se réfère à l' art. 121 let . d LTF, le requérant 1 se contente, en réalité, d'exposer une nouvelle fois sa propre version de l'affaire au fond ou de revenir sur certains éléments y afférents. Les pièces produites ne figurant pas déjà à la procédure sont irrecevables ( art. 99 al. 1 LTF ). La demande de révision n'est ainsi pas motivée à satisfaction de droit pour permettre d'en comprendre les tenants et aboutissants et de considérer la réalisation d'un motif de révision sous cet angle. Il ne ressort ainsi de la demande présentée aucun moyen susceptible de conduire à la révision d'un arrêt du Tribunal fédéral. Elle est donc irrecevable, faute de satisfaire aux exigences de motivation ( art. 42 al. 2 LTF ).</w:t>
      </w:r>
    </w:p>
    <w:p>
      <w:r>
        <w:t>II. Demande de révision de B.________ (requérant 2)</w:t>
      </w:r>
    </w:p>
    <w:p>
      <w:r>
        <w:rPr>
          <w:b/>
        </w:rPr>
        <w:t>E. 4</w:t>
      </w:r>
    </w:p>
    <w:p>
      <w:r>
        <w:t>Le requérant 2 se prévaut du motif de révision prévu à l' art. 121 let . d LTF.</w:t>
      </w:r>
    </w:p>
    <w:p>
      <w:r>
        <w:t>Le requérant 2 soutient que c'est par inadvertance que le Tribunal fédéral a déclaré irrecevable son grief relatif au rejet de ses réquisitions de preuve. Il expose à cet égard qu'il aurait demandé à faire examiner le "logiciel original" devant les instances cantonales, contrairement à ce qu'aurait retenu le Tribunal fédéral, et qu'il aurait suffisamment motivé le grief d'arbitraire en lien avec l'audition des créateurs de ce logiciel. Par ailleurs, le requérant 2 reproche une inadvertance au Tribunal fédéral dans la mesure où le procès-verbal d'assemblée générale du conseil de fondation du 14 octobre 2010 n'aurait pas été produit "en retard" dans la procédure.</w:t>
      </w:r>
    </w:p>
    <w:p>
      <w:r>
        <w:t>En l'espèce, ces développements ne constituent pas la démonstration de l'existence d'un motif de révision. Sous couvert de l' art. 121 let . d LTF, le requérant 2 procède à une discussion libre de quelques éléments du dossier sans pour autant développer une argumentation topique. Il critique la motivation de l'arrêt dont il demande la révision, ce qu'il n'est pas recevable à faire. Comme indiqué dans les arrêts 6B_20/2024, 6B_34/2024 du 17 décembre 2024 (consid. 13), le requérant 2 n'avait, dans son recours en matière pénale, soulevé aucun grief recevable - répondant aux exigences de motivation découlant des art. 42 al. 2 et 106 al. 2 LTF - concernant le rejet de ses réquisitions de preuve visant à l'audition des créateurs du logiciel, faute de s'en prendre à la motivation cantonale, à quoi s'ajoutait un second motif d'irrecevabilité pour le reste des réquisitions de preuve en lien avec ce logiciel, étant précisé, en tout état, que le requérant ne faisait que "semble[r]" - l'usage de cette locution soulignant déjà une recevabilité douteuse sous l'angle des dispositions précitées - se plaindre de l'absence d'instruction sur ces points. Quant à la date de production du procès-verbal dans la procédure, les développements s'épuisent en une discussion appellatoire qui n'est manifestement pas susceptible de justifier qu'il soit entré en matière sur la demande de révision de la décision querellée. Par conséquent, le requérant 2 ne démontre pas en quoi le Tribunal fédéral aurait omis de prendre en considération une pièce déterminée, versée au dossier, ou l'aurait mal lue, s'écartant par mégarde de sa teneur exacte, en particulier de son vrai sens littéral. Il n'apparaît donc pas qu'il y a inadvertance au sens de l' art. 121 let . d LTF. Il résulte de ce qui précède que la demande de révision doit être rejetée, dans la mesure où elle est recevable.</w:t>
      </w:r>
    </w:p>
    <w:p>
      <w:r>
        <w:rPr>
          <w:b/>
        </w:rPr>
        <w:t>E. 5</w:t>
      </w:r>
    </w:p>
    <w:p>
      <w:r>
        <w:t>La demande de révision du requérant 1 doit être déclarée irrecevable. La demande de révision du requérant 2 est rejetée, dans la mesure de sa recevabilité. Comme la demande de révision du requérant 1 était dénuée de chances de succès, sa demande d'assistance judiciaire doit être rejetée ( art. 64 al. 1 LTF ). Les requérants, qui succombent, supportent chacun les frais judiciaires liés à leur demande de révision et dont le montant, s'agissant du requérant 1, tiendra compte de sa situation financière (art. 65 al. 2 et 66 al. 1 LTF). Ce qui précède rend sans objet les autres conclusions des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