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6/2016 vom 25. August 2016</w:t>
      </w:r>
    </w:p>
    <w:p>
      <w:r>
        <w:t>Bundesgericht, 2016-08-25, FR</w:t>
      </w:r>
    </w:p>
    <w:p>
      <w:r>
        <w:rPr>
          <w:b/>
        </w:rPr>
        <w:t xml:space="preserve">Quelle: </w:t>
      </w:r>
      <w:r>
        <w:t>https://mcp.opencaselaw.ch/entscheid/bger_6F_6_2016</w:t>
      </w:r>
    </w:p>
    <w:p>
      <w:r>
        <w:t>FR: TF 6F 6/2016 du 25 août 2016</w:t>
      </w:r>
    </w:p>
    <w:p>
      <w:r>
        <w:t>IT: TF 6F 6/2016 del 25 agosto 2016</w:t>
      </w:r>
    </w:p>
    <w:p>
      <w:pPr>
        <w:pStyle w:val="Heading2"/>
      </w:pPr>
      <w:r>
        <w:t>Regeste</w:t>
      </w:r>
    </w:p>
    <w:p>
      <w:r>
        <w:t>Demande de révision de l'arrêt 6B_398/2007 du 12 décembre 2007 | Procédure pénale</w:t>
      </w:r>
    </w:p>
    <w:p>
      <w:pPr>
        <w:pStyle w:val="Heading2"/>
      </w:pPr>
      <w:r>
        <w:t>Erwägungen</w:t>
      </w:r>
    </w:p>
    <w:p>
      <w:r>
        <w:rPr>
          <w:b/>
        </w:rPr>
        <w:t>E. 1</w:t>
      </w:r>
    </w:p>
    <w:p>
      <w:r>
        <w:t>En vertu de l' art. 122 let. a LTF , la révision d'un arrêt du Tribunal fédéral pour violation de la CEDH peut être demandée si la Cour européenne a constaté, par un arrêt définitif, une violation de la CEDH ou de ses protocoles. En pareil cas, la demande de révision doit être déposée devant le Tribunal fédéral au plus tard 90 jours après que l'arrêt de la CourEDH est devenu définitif au sens de l' art. 44 CEDH ( art. 124 al. 1 let . c LTF). En outre, le requérant doit avoir la qualité pour former une demande de révision et, notamment, disposer d'un intérêt actuel à obtenir un nouveau jugement sur le point litigieux (cf. arrêts 2F_11/2008 du 6 juillet 2009 consid. 2; 1F_1/2007 du 30 juillet 2007, consid. 3.3, 3e par.). Partie à la procédure ayant abouti à l'arrêt du Tribunal fédéral dont la révision est demandée, le requérant, qui a été condamné pénalement pour discrimination raciale, bénéficie sans conteste de la qualité pour agir et d'un intérêt actuel à obtenir le réexamen de sa cause ensuite de l'arrêt de la Cour européenne. Par ailleurs, l'arrêt de la Grande Chambre a été rendu le 15 octobre 2015 et est définitif depuis cette date ( art. 44 par. 1 CEDH ). La demande de révision, remise à un bureau de poste suisse le 28 janvier 2016, l'a été dans le délai de 90 jours de l' art. 124 al. 1 let . c LTF, compte tenu des féries ( art. 46 al. 1 let . c LTF). La demande indique, en outre, le motif de révision invoqué et en quoi consiste la modification de l'arrêt demandée. Elle est recevable à la forme et déposée en temps utile.</w:t>
      </w:r>
    </w:p>
    <w:p>
      <w:r>
        <w:rPr>
          <w:b/>
        </w:rPr>
        <w:t>E. 2</w:t>
      </w:r>
    </w:p>
    <w:p>
      <w:r>
        <w:t>Le motif de révision de l' art. 122 LTF suppose, de surcroît, outre qu'une requête individuelle ait, comme en l'espèce, été admise pour la violation d'un droit garanti par la CEDH (let. a), qu'une indemnité ne soit pas de nature à remédier aux effets de la violation (let. b) et que la révision soit nécessaire pour remédier aux effets de la violation (let. c). En l'espèce, l'arrêt 6B_398/2007 rejette le recours du requérant contre sa condamnation pénale pour discrimination raciale. La Cour européenne a jugé que cette condamnation violait la liberté d'expression du recourant. Une indemnité n'est, à elle seule, pas de nature à remédier aux effets pénaux de la violation et seule la révision de l'arrêt en force est susceptible de permettre au requérant d'obtenir un jugement pénal libératoire. Il y a, dès lors, lieu d'admettre le motif de révision et de procéder conformément à l' art. 128 al. 1 LTF , en d'autres termes, d'annuler l'arrêt 6B_398/2007 et de statuer à nouveau sur le recours à la lumière de l'arrêt de la CourEDH du 15 octobre 2015.</w:t>
      </w:r>
    </w:p>
    <w:p>
      <w:r>
        <w:rPr>
          <w:b/>
        </w:rPr>
        <w:t>E. 3</w:t>
      </w:r>
    </w:p>
    <w:p>
      <w:r>
        <w:t>La CourEDH a jugé que la condamnation du recourant pour discrimination raciale en application de l' art. 261bis CP à raison des propos qu'il a tenus à Lausanne, Opfikon et Könitz, violait la liberté d'expression du recourant. Plus précisément, après avoir mis en balance le droit des membres de la communauté arménienne au respect de leur vie privée, soit au respect de leur dignité, et la liberté d'expression du recourant, en tant qu'orateur politique (et non comme juriste ou historien), elle a considéré que cette condamnation n'était pas nécessaire dans une société démocratique. Il convient de prendre acte de l'interprétation de l' art. 10 CEDH ainsi donnée par la Cour européenne. Appliqué à la lumière de ces principes, l' art. 261bis CP ne permet dès lors pas, en l'espèce, de condamner le recourant. Cela conduit à l'annulation de l'arrêt du Tribunal cantonal vaudois du 13 juin 2007 et au renvoi de la cause à l'autorité cantonale afin qu'elle rende une nouvelle décision. La juridiction d'appel actuelle est compétente ( art. 453 al. 2 2 e phrase CPP). Le recourant obtenant gain de cause sur le fond, il ne supporte pas de frais de procédure, de sorte que la somme de 4000 fr. dont il s'est acquitté en exécution de l'arrêt 6B_398/2007 doit lui être restituée. Le recourant indique ne pas élever de prétentions en ce qui concerne les honoraires de son avocat, Me Laurent Moreillon, pour son activité du 5 mai 2006 au 9 septembre 2008 (mémoire de révision, p. 26). Cette période incluant le recours au Tribunal fédéral, il n'y a pas lieu de lui allouer des dépens.</w:t>
      </w:r>
    </w:p>
    <w:p>
      <w:r>
        <w:rPr>
          <w:b/>
        </w:rPr>
        <w:t>E. 4</w:t>
      </w:r>
    </w:p>
    <w:p>
      <w:r>
        <w:t>Le recourant requiert en outre, en se référant aux art. 128 al. 3 LTF et 415 CPP, l'allocation de diverses indemnités pour l'exercice raisonnable de ses droits de procédure ainsi que le dommage économique (68'433 fr. correspondant à des frais engagés durant la procédure cantonale; 30'000 fr. pour le tort moral), le remboursement de 3000 fr. d'amende payée, la publication du jugement ainsi que sa libération de toute obligation de s'acquitter d'une somme à titre de tort moral en faveur de l'Association Y.________. Il demande aussi, à ce titre, le remboursement des frais engagés pour la révision, soit 8000 fr. d'honoraires de son avocat et 3780 fr. de frais de traduction. La cour de céans ne jugeant pas à nouveau au fond au sens de l' art. 128 al. 3 LTF , il n'y a pas lieu de procéder conformément à cette règle (v. p. ex. : arrêt 6F_25/2015 du 6 octobre 2015 consid. 6). Il incombera à la cour cantonale de statuer sur ces différents points, en tenant compte des déclarations en procédure émises par l'association intimée (v. supra consid. F). Pour le surplus, en tant que ces conclusions visent les honoraires d'avocat et les frais de traduction afférents à la présente demande de révision, cette question relève de la procédure devant le Tribunal fédéral et doit être examinée à l'aune de l' art. 68 LTF .</w:t>
      </w:r>
    </w:p>
    <w:p>
      <w:r>
        <w:rPr>
          <w:b/>
        </w:rPr>
        <w:t>E. 5</w:t>
      </w:r>
    </w:p>
    <w:p>
      <w:r>
        <w:t>En tant que le recourant demande la publication de la présente décision, il convient de relever, d'une part, que la décision de la CourEDH a déjà fait l'objet d'une très large publicité au niveau mondial. Il ne fait, d'autre part, aucun doute que la présente décision sera également relayée par la presse, de sorte qu'une publication spécifique ne s'impose pas.</w:t>
      </w:r>
    </w:p>
    <w:p>
      <w:r>
        <w:rPr>
          <w:b/>
        </w:rPr>
        <w:t>E. 6</w:t>
      </w:r>
    </w:p>
    <w:p>
      <w:r>
        <w:t>Le recourant obtient gain de cause sur le principe de la révision. Il ne supporte pas de frais (art. 65 al. 2 et 66 al. 1 LTF). Il peut prétendre des dépens pour la procédure de révision, à la charge du canton de Vaud et de l'Association Y.________ ( art. 68 al. 1 et 2 LTF ). A cet égard, la demande de révision, fondée sur une décision de la CourEDH, visait une condamnation pénale. Elle ne posait pas de difficultés particulières. De surcroît, la note d'honoraires déposée (pièce 7) n'indique que les opérations effectuées par le conseil du recourant entre le 27 octobre 2015 et le 27 janvier 2016, sans apporter de précisions quant à la durée de chacune de celles-ci, ni quant au tarif horaire pratiqué. Ce document ne permet ainsi aucune analyse des divers postes de la note d'honoraires. Il n'y a, dès lors, aucune raison de s'écarter de la pratique de la Cour de droit pénal en matière de dépens pour l'intervention d'un avocat. En revanche, le recourant, qui ne parle pas français et est domicilié en Turquie, ayant eu recours aux services d'un traducteur, il en sera tenu compte dans le montant total des dépens alloués (art. 11 du Règlement sur les dépens alloués à la partie adverse et sur l'indemnité pour la représentation d'office dans les causes portées devant le Tribunal fédéral du 31 mars 2006 (RS 173.110.210.3). Toutefois, en tant que la note d'honoraires produite (pièce 8) comprend des opérations excédant manifestement les besoins d'une traduction (étude du dossier, séances avec l'avocat et déplacements y relatifs), il n'y a pas lieu de tenir compte de l'intégralité des heures facturées.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