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6F_5/2019 vom 9. April 2019</w:t>
      </w:r>
    </w:p>
    <w:p>
      <w:r>
        <w:t>Bundesgericht, 2019-04-09, FR</w:t>
      </w:r>
    </w:p>
    <w:p>
      <w:r>
        <w:rPr>
          <w:b/>
        </w:rPr>
        <w:t xml:space="preserve">Quelle: </w:t>
      </w:r>
      <w:r>
        <w:t>https://mcp.opencaselaw.ch/entscheid/bger_6F_5_2019</w:t>
      </w:r>
    </w:p>
    <w:p>
      <w:r>
        <w:t>FR: TF 6F_5/2019 du 9 avril 2019</w:t>
      </w:r>
    </w:p>
    <w:p>
      <w:r>
        <w:t>IT: TF 6F_5/2019 del 9 aprile 2019</w:t>
      </w:r>
    </w:p>
    <w:p>
      <w:pPr>
        <w:pStyle w:val="Heading2"/>
      </w:pPr>
      <w:r>
        <w:t>Erwägungen</w:t>
      </w:r>
    </w:p>
    <w:p>
      <w:r>
        <w:rPr>
          <w:b/>
        </w:rPr>
        <w:t>E. 1</w:t>
      </w:r>
    </w:p>
    <w:p>
      <w:r>
        <w:t>Le requérant invoque le motif de révision prévu par l' art. 121 let . d LTF.</w:t>
      </w:r>
    </w:p>
    <w:p>
      <w:r>
        <w:rPr>
          <w:b/>
        </w:rPr>
        <w:t>E. 1.1</w:t>
      </w:r>
    </w:p>
    <w:p>
      <w:r>
        <w:t>Aux termes de l' art. 121 let . d LTF, la révision d'un arrêt du Tribunal fédéral peut être demandée si, par inadvertance, le tribunal n'a pas pris en considération des faits pertinents qui ressortent du dossier.</w:t>
      </w:r>
    </w:p>
    <w:p>
      <w:r>
        <w:t>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 6F_14/2018 du 20 septembre 2018 consid. 1.1).</w:t>
      </w:r>
    </w:p>
    <w:p>
      <w:r>
        <w:t>En outre, ce motif de révision ne peut être invoqué que si les faits qui n'ont pas été pris en considération sont " importants ": il doit s'agir de faits pertinents, susceptibles d'entraîner une décision différente de celle qui a été prise et plus favorable au requérant ( ATF 122 II 17 consid. 3 p. 18; arrêt 6F_14/2018 précité consid. 1.1).</w:t>
      </w:r>
    </w:p>
    <w:p>
      <w:r>
        <w:t>Enfin,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(arrêts 4F_15/2017 du 30 novembre 2017 consid. 2.1; 4F_4/2015 du 2 avril 2015 consid. 2.1 et les précédents cités).</w:t>
      </w:r>
    </w:p>
    <w:p>
      <w:r>
        <w:rPr>
          <w:b/>
        </w:rPr>
        <w:t>E. 1.2</w:t>
      </w:r>
    </w:p>
    <w:p>
      <w:r>
        <w:t>Le requérant fait grief à la Cour de droit pénal du Tribunal fédéral d'avoir commis une inadvertance manifeste, en ne tenant pas compte du suivi du recommandé de l'annonce d'appel qui figurait au dossier. Il explique qu'il a utilisé le système d'envoi B.________, lequel a engendré un décalage temporel entre le dépôt en consigne et l'apposition du timbre par la poste. Il a ainsi déposé le courrier litigieux auprès de B.________ le 30 juillet 2018 à 21h11, ce qu'atteste le suivi des envois figurant au dossier.</w:t>
      </w:r>
    </w:p>
    <w:p>
      <w:r>
        <w:rPr>
          <w:b/>
        </w:rPr>
        <w:t>E. 1.3</w:t>
      </w:r>
    </w:p>
    <w:p>
      <w:r>
        <w:t>La détermination de la date d'expédition relève de l'administration des preuves. Selon la jurisprudence, le sceau postal fait foi de la date d'expédition, mais cette présomption est réfragable, la partie ayant le droit de prouver par tous moyens utiles - en particulier par témoins - que le pli a été déposé en temps utile dans une boîte postale alors même qu'il n'aurait été oblitéré que le lendemain ( ATF 142 V 389 consid. 22 p. 391; 124 V 372 consid. 3b p. 375; 115 Ia 8 consid. 3a p. 11 ss et les références citées; 109 Ib 343 consid. 2b p. 345; arrêt 5A_972/2018 du 5 février 2019 consid. 4.1).</w:t>
      </w:r>
    </w:p>
    <w:p>
      <w:r>
        <w:t>Se fondant sur le sceau postal, la cour cantonale a retenu que le requérant avait annoncé appeler du jugement par courrier expédié le 31 juillet 2018. Il s'agit d'une constatation de fait, qui liait le Tribunal fédéral comme autorité de recours. Si le requérant entendait contester la date d'expédition, il lui appartenait d'établir que les conditions de l' art. 97 al. 1 LTF étaient réalisées. Dans son recours au Tribunal fédéral, il a certes mentionné que la cour cantonale avait retenu à tort la date du 31 juillet 2018 en lieu et place du 30 juillet 2018, mais sans donner aucune explication sur cette prétendue erreur de la cour cantonale et en précisant qu'il n'en faisait pas un grief, car cette constatation de fait n'était pas susceptible d'influer sur le sort de la cause. Dans ces conditions, il n'appartenait pas au Tribunal fédéral de s'écarter de la constatation de la cour cantonale. N'ayant pas soulevé le moyen tiré de l'établissement manifestement inexact des faits ou ne l'ayant pas motivé suffisamment au regard de l' art. 106 al. 2 LTF , le requérant ne peut maintenant reprocher au Tribunal fédéral, par la voie d'une demande de révision, de n'avoir pas rectifié d'office la date d'expédition ( ATF 115 II 399 consid. 2a p. 400).</w:t>
      </w:r>
    </w:p>
    <w:p>
      <w:r>
        <w:t>En conséquence, les considérants décisifs de l'arrêt attaqué ne résultent d'aucune inadvertance, de sorte que la demande de révision se révèle privée de fondement.</w:t>
      </w:r>
    </w:p>
    <w:p>
      <w:r>
        <w:rPr>
          <w:b/>
        </w:rPr>
        <w:t>E. 2</w:t>
      </w:r>
    </w:p>
    <w:p>
      <w:r>
        <w:t>Le requérant, qui succombe, devra payer les frais de la procédure de révision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