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6F_5/2012 vom 27. April 2012</w:t>
      </w:r>
    </w:p>
    <w:p>
      <w:r>
        <w:t>Bundesgericht, 2012-04-27, DE</w:t>
      </w:r>
    </w:p>
    <w:p>
      <w:r>
        <w:rPr>
          <w:b/>
        </w:rPr>
        <w:t xml:space="preserve">Quelle: </w:t>
      </w:r>
      <w:r>
        <w:t>https://mcp.opencaselaw.ch/entscheid/bger_6F_5_2012</w:t>
      </w:r>
    </w:p>
    <w:p>
      <w:r>
        <w:t>FR: TF 6F_5/2012 du 27 avril 2012</w:t>
      </w:r>
    </w:p>
    <w:p>
      <w:r>
        <w:t>IT: TF 6F_5/2012 del 27 aprile 2012</w:t>
      </w:r>
    </w:p>
    <w:p>
      <w:pPr>
        <w:pStyle w:val="Heading2"/>
      </w:pPr>
      <w:r>
        <w:t>Erwägungen</w:t>
      </w:r>
    </w:p>
    <w:p>
      <w:r>
        <w:rPr>
          <w:b/>
        </w:rPr>
        <w:t>E. 1</w:t>
      </w:r>
    </w:p>
    <w:p>
      <w:r>
        <w:t>Dem Gesuchsteller wurden mit Verfügungen vom 14. Februar und 16. März 2012 eine Frist sowie die gesetzlich vorgeschriebene Nachfrist bis zum 16. April 2012 angesetzt, um dem Bundesgericht einen Kostenvorschuss von Fr. 2'000.-- einzuzahlen, ansonsten auf das Rechtsmittel nicht eingetreten werde. Der Kostenvorschuss ging innert Frist nicht ein. Folglich ist auf das Revisionsgesuch androhungsgemäss nicht einzutreten.</w:t>
      </w:r>
    </w:p>
    <w:p>
      <w:r>
        <w:rPr>
          <w:b/>
        </w:rPr>
        <w:t>E. 2</w:t>
      </w:r>
    </w:p>
    <w:p>
      <w:r>
        <w:t>Die Gerichtskosten sind dem Gesuchsteller aufzuerlegen ( Art. 66 Abs. 1 BGG ). Der Gesuchsgegnerin 2 ist keine Entschädigung auszurichten, weil sie im Verfahren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