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47/2023 vom 10. Januar 2024</w:t>
      </w:r>
    </w:p>
    <w:p>
      <w:r>
        <w:t>Bundesgericht, 2024-01-10, FR</w:t>
      </w:r>
    </w:p>
    <w:p>
      <w:r>
        <w:rPr>
          <w:b/>
        </w:rPr>
        <w:t xml:space="preserve">Quelle: </w:t>
      </w:r>
      <w:r>
        <w:t>https://mcp.opencaselaw.ch/entscheid/bger_6F_47_2023</w:t>
      </w:r>
    </w:p>
    <w:p>
      <w:r>
        <w:t>FR: TF 6F 47/2023 du 10 janvier 2024</w:t>
      </w:r>
    </w:p>
    <w:p>
      <w:r>
        <w:t>IT: TF 6F 47/2023 del 10 gennaio 2024</w:t>
      </w:r>
    </w:p>
    <w:p>
      <w:pPr>
        <w:pStyle w:val="Heading2"/>
      </w:pPr>
      <w:r>
        <w:t>Regeste</w:t>
      </w:r>
    </w:p>
    <w:p>
      <w:r>
        <w:t>Demande de révision de l'arrêt du Tribunal fédéral suisse du 30 juin 2023 (6B_739/2023) | Procédure pénale</w:t>
      </w:r>
    </w:p>
    <w:p>
      <w:pPr>
        <w:pStyle w:val="Heading2"/>
      </w:pPr>
      <w:r>
        <w:t>Erwägungen</w:t>
      </w:r>
    </w:p>
    <w:p>
      <w:r>
        <w:rPr>
          <w:b/>
        </w:rPr>
        <w:t>E. 1</w:t>
      </w:r>
    </w:p>
    <w:p>
      <w:r>
        <w:t>Par arrêt du 23 mai 2023, la Chambre pénale de recours de la Cour de justice de la République et canton de Genève a déclaré irrecevable, en raison de sa tardiveté, le recours formé par A.________ contre l'ordonnance du 3 avril 2022 par laquelle le Ministère public genevois a refusé d'entrer en matière sur la plainte déposée par le prénommé le 31 mars 2022. Par arrêt 6B_739/2023 du 30 juin 2023, statuant selon la procédure prévue par l' art. 108 al. 1 let. a LTF , le Juge présidant de la Cour de droit pénal du Tribunal fédéral a déclaré irrecevable, faute de motivation topique sur la question de l'irrecevabilité cantonale, le recours de A.________ contre le prononcé cantonal précité.</w:t>
      </w:r>
    </w:p>
    <w:p>
      <w:r>
        <w:rPr>
          <w:b/>
        </w:rPr>
        <w:t>E. 2</w:t>
      </w:r>
    </w:p>
    <w:p>
      <w:r>
        <w:t>A.________ dépose deux écritures intitulées "Non acceptation de la décision" à la suite de l'arrêt 6B_739/2023. Conformément à l' art. 61 LTF , les arrêts du Tribunal fédéral acquièrent force de chose jugée le jour où ils sont prononcés. Ils ne peuvent être mis en cause que par le biais d'une procédure de révision dont les conditions sont définies par les art. 121 à 123 LTF. Les écrits du requérant sont ainsi traités comme demande de révision.</w:t>
      </w:r>
    </w:p>
    <w:p>
      <w:r>
        <w:rPr>
          <w:b/>
        </w:rPr>
        <w:t>E. 3</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L'inadvertance au sens de cette dernière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6F_16/2023 du 15 novembre 2023 consid. 1.1; 6F_18/2022 du 10 août 2023 consid. 2.1; 6F_7/2021 du 1 er octobre 2021 consid. 2.1).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 ATF 147 III 238 consid. 1.2.1; arrêts 6F_16/2023 précité consid. 1.1; 6F_39/2021 du 29 juin 2023 consid. 1). Le requérant se contente, pour l'essentiel, d'exposer à nouveau sa propre version de l'affaire au fond. Pour le surplus, il se limite à affirmer qu'il aurait respecté les délais d'appel, sans autre ou plus ample argumentation tendant à démontrer en quoi le Tribunal fédéral aurait omis de prendre en considération une pièce déterminée, versée au dossier, ou l'aurait mal lue, s'écartant par mégarde de sa teneur exacte. On cherche ainsi en vain dans les différentes écritures du requérant une motivation propre à démontrer l'existence d'un motif de révision au sens des art. 121 ss LTF , dispositions auxquelles il ne se réfère d'ailleurs aucunement.</w:t>
      </w:r>
    </w:p>
    <w:p>
      <w:r>
        <w:rPr>
          <w:b/>
        </w:rPr>
        <w:t>E. 4</w:t>
      </w:r>
    </w:p>
    <w:p>
      <w:r>
        <w:t>A défaut pour le requérant d'avoir présenté une motivation répondant aux exigences déduites de l' art. 42 al. 2 LTF , sa demande de révision est irrecevable.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