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46/2023 vom 2. April 2024</w:t>
      </w:r>
    </w:p>
    <w:p>
      <w:r>
        <w:t>Bundesgericht, 2024-04-02, FR</w:t>
      </w:r>
    </w:p>
    <w:p>
      <w:r>
        <w:rPr>
          <w:b/>
        </w:rPr>
        <w:t xml:space="preserve">Quelle: </w:t>
      </w:r>
      <w:r>
        <w:t>https://mcp.opencaselaw.ch/entscheid/bger_6F_46_2023</w:t>
      </w:r>
    </w:p>
    <w:p>
      <w:r>
        <w:t>FR: TF 6F 46/2023 du 2 avril 2024</w:t>
      </w:r>
    </w:p>
    <w:p>
      <w:r>
        <w:t>IT: TF 6F 46/2023 del 2 aprile 2024</w:t>
      </w:r>
    </w:p>
    <w:p>
      <w:pPr>
        <w:pStyle w:val="Heading2"/>
      </w:pPr>
      <w:r>
        <w:t>Regeste</w:t>
      </w:r>
    </w:p>
    <w:p>
      <w:r>
        <w:t>Demande de révision de l'arrêt du Tribunal fédéral suisse du 9 mai 2023 (6B_140/2022 et 6B_841/2022) | Procédure pénale</w:t>
      </w:r>
    </w:p>
    <w:p>
      <w:pPr>
        <w:pStyle w:val="Heading2"/>
      </w:pPr>
      <w:r>
        <w:t>Erwägungen</w:t>
      </w:r>
    </w:p>
    <w:p>
      <w:r>
        <w:rPr>
          <w:b/>
        </w:rPr>
        <w:t>E. 1</w:t>
      </w:r>
    </w:p>
    <w:p>
      <w:r>
        <w:t>En tant que le demandeur en révision requiert à titre préalable la récusation de la Présidente de la I re Cour de droit pénal, cette question est sans objet vu la composition dans laquelle statue la I re Cour de droit pénal sur la demande de révision. Au demeurant, le demandeur en révision expose les mêmes motifs de récusation que ceux qui ont déjà été examinés dans l'arrêt 6F_2/2020 du 23 avril 2020 - dont la demande de révision a été rejetée par arrêt 6F_33/2023 du 18 octobre 2023 -, étant rappelé que les motifs de récusation y avaient été jugés irrecevables parce qu'ils avaient été soulevés tardivement et de manière abusive et qui, même supposés recevables, auraient de toute manière dû être rejetés (cf. arrêt 6F_2/2020 précité consid. 3 et 4).</w:t>
      </w:r>
    </w:p>
    <w:p>
      <w:r>
        <w:rPr>
          <w:b/>
        </w:rPr>
        <w:t>E. 2</w:t>
      </w:r>
    </w:p>
    <w:p>
      <w:r>
        <w:t>Que ce soit quant au contexte dans lequel s'inscrit la présente demande de révision ou quant aux conditions auxquelles la révision d'un arrêt du Tribunal fédéral peut être demandée, il peut être renvoyé aux considérants en fait et en droit exposés dans les arrêts 6B_140/2022 du 9 mai 2023 et 6F_33/2023 du 18 octobre 2023.</w:t>
      </w:r>
    </w:p>
    <w:p>
      <w:r>
        <w:rPr>
          <w:b/>
        </w:rPr>
        <w:t>E. 3</w:t>
      </w:r>
    </w:p>
    <w:p>
      <w:r>
        <w:t>Le demandeur en révision fonde en premier lieu sa demande de révision sur l' art. 122 LTF , se prévalant à cet égard de l'arrêt de la CourEDH du 13 juin 2023.</w:t>
      </w:r>
    </w:p>
    <w:p>
      <w:r>
        <w:rPr>
          <w:b/>
        </w:rPr>
        <w:t>E. 3.1</w:t>
      </w:r>
    </w:p>
    <w:p>
      <w:r>
        <w:t>Conformément à l' art. 122 LTF , la révision d'un arrêt du Tribunal fédéral pour violation de la Convention de sauvegarde des droits de l'homme et des libertés fondamentales du 4 novembre 1950 (CEDH) peut être demandée à condition que la Cour européenne des droits de l'homme ait constaté, dans un arrêt définitif ( art. 44 CEDH ), une violation de la CEDH ou de ses protocoles, ou ait conclu le cas par un règlement amiable ( art. 39 CEDH ; let. a), qu'une indemnité ne soit pas de nature à remédier aux effets de la violation (let. b) et que la révision soit nécessaire pour remédier aux effets de la violation (let. c). La révision doit être nécessaire pour remédier aux effets de la violation. Cette condition est donnée lorsque la procédure devant le Tribunal fédéral aurait eu ou aurait pu avoir une issue différente sans la violation de la Convention et que par conséquent les effets préjudiciables de la décision initiale persistent (cf. ATF 144 I 214 consid. 4.3; 143 I 50 consid. 2.3; 142 I 42 consid. 2.3; 137 I 86 consid. 3.2.3 et 7.3.1).</w:t>
      </w:r>
    </w:p>
    <w:p>
      <w:r>
        <w:rPr>
          <w:b/>
        </w:rPr>
        <w:t>E. 3.2</w:t>
      </w:r>
    </w:p>
    <w:p>
      <w:r>
        <w:t>Par son arrêt rendu le 13 juin 2023, la CourEDH a constaté une violation de l' art. 6 par. 1 CEDH , en tant que cette disposition garantissait le droit du demandeur en révision à un tribunal impartial. A teneur de l'arrêt européen, cette violation était à mettre en lien avec le défaut d'impartialité de la juge cantonale E.________, Présidente de la Chambre pénale d'appel et de révision, découlant des termes qu'elle avait utilisés dans les observations du 3 octobre 2017. Ces observations avaient été présentées ensuite de la demande de la récusation de cette magistrate fondée sur les termes dont elle avait fait usage dans son ordonnance du 18 juillet 2017.</w:t>
      </w:r>
    </w:p>
    <w:p>
      <w:r>
        <w:rPr>
          <w:b/>
        </w:rPr>
        <w:t>E. 3.3.1</w:t>
      </w:r>
    </w:p>
    <w:p>
      <w:r>
        <w:t>Comme cela a été relevé dans l'arrêt 6F_33/2023, la révision des arrêts 1B_512/2017 et 6B_865/2018 était nécessaire pour remédier aux effets de la violation du droit du demandeur en révision à un tribunal impartial. Il apparaissait en effet que l'issue de la cause 1B_512/2017 aurait été différente si cette violation avait été constatée par le Tribunal fédéral, ce qui aurait conduit la Chambre pénale d'appel et de révision à devoir statuer dans une autre composition, à savoir sans la juge cantonale E.________. On ne pouvait donc exclure que l'issue de la cause 6B_865/2018 aurait, elle aussi, été autre (cf. arrêt 6F_33/2023 du 18 octobre 2023 consid. 3.3.1).</w:t>
      </w:r>
    </w:p>
    <w:p>
      <w:r>
        <w:rPr>
          <w:b/>
        </w:rPr>
        <w:t>E. 3.3.2</w:t>
      </w:r>
    </w:p>
    <w:p>
      <w:r>
        <w:t>En l'espèce, le demandeur en révision ne prétend toutefois pas que la juge cantonale E.________ serait intervenue à un quelconque titre dans le cadre des procédures préliminaires qui avaient été ouvertes contre C.________ et D.________ à la suite des plaintes qu'il avait déposées contre ces derniers pour faux témoignage notamment. On ne voit pas dans ce contexte que la révision de l'arrêt 6B_140/2022 soit nécessaire pour remédier à la violation de l' art. 6 par. 1 CEDH , en lien avec le droit du demandeur en révision à un tribunal impartial, telle que constatée par la CourEDH dans son arrêt du 13 juin 2023. La condition de l' art. 122 let . c LTF n'est donc pas réalisée.</w:t>
      </w:r>
    </w:p>
    <w:p>
      <w:r>
        <w:rPr>
          <w:b/>
        </w:rPr>
        <w:t>E. 4.1</w:t>
      </w:r>
    </w:p>
    <w:p>
      <w:r>
        <w:t>Le demandeur en révision entend par ailleurs fonder sa demande sur le motif décrit à l' art. 123 al. 2 let. b LTF , aux termes duquel la révision peut être demandée, dans les affaires pénales, si les conditions des art. 410 al. 1 let. a et b et al. 2 CPP sont remplies. Il soutient à cet égard que l'annulation de sa condamnation, prononcée par l'arrêt 6F_33/2023, constituait un fait nouveau au sens de l' art. 410 al. 1 let. a CPP justifiant l'annulation, à son tour, de l'arrêt 6B_140/2022. Il prétend également, en référence à l' art. 410 al. 1 let. b CPP , que l'arrêt 6B_140/2022 serait en contradiction flagrante avec l'arrêt 6F_33/2023.</w:t>
      </w:r>
    </w:p>
    <w:p>
      <w:r>
        <w:rPr>
          <w:b/>
        </w:rPr>
        <w:t>E. 4.2</w:t>
      </w:r>
    </w:p>
    <w:p>
      <w:r>
        <w:t>Alors que le motif de révision de l' art. 123 al. 2 let. b LTF suppose en toute logique l'existence d'une décision sujette à révision au sens de l' art. 410 al. 1 CPP - à savoir, à teneur de cette disposition, un jugement entré en force, une ordonnance pénale, une décision judiciaire ultérieure ou une décision rendue dans une procédure indépendante en matière de mesures -, les arrêts contestés dans les causes 6B_140/2022 et 6B_841/2022 se rapportaient en l'occurrence à des ordonnances de classement, lesquelles peuvent être revues aux conditions prévues par l' art. 323 CPP et non à celles des art. 410 ss CPP (arrêt 6B_614/2015 du 14 mars 2016 consid. 2.2.2; cf. également ATF 141 IV 194 consid. 2.3; LAURA JACQUEMOUD-ROSSARI, in Commentaire romand, Code de procédure pénale suisse, 2e éd. 2019, n° 17 ad art. 410 CPP ). Le demandeur en révision ne saurait dès lors se prévaloir du motif de révision de l' art. 123 al. 2 let. b LTF . Cela étant, on ne voit pas que, si le demandeur en révision estime que les conditions de l' art. 323 CPP sont réalisées, il soit empêché de solliciter du ministère public la reprise des procédures préliminaires qui avaient été dirigées contre C.________ et D.________.</w:t>
      </w:r>
    </w:p>
    <w:p>
      <w:r>
        <w:rPr>
          <w:b/>
        </w:rPr>
        <w:t>E. 5</w:t>
      </w:r>
    </w:p>
    <w:p>
      <w:r>
        <w:t>Il résulte de ce qui précède que la demande de révision doit être rejetée dans la mesure où elle est recevable. Le demandeur en révision a sollicité l'octroi de l'assistance judiciaire. Vu les considérations précédentes, sa démarche était vouée à l'échec ( art. 64 al. 1 LTF ) et cette requête doit être rejetée. Il supportera donc les frais judiciaires ( art. 66 al. 1 LTF ), qui seront cependant fixés en tenant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