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6F_43/2020 vom 17. Dezember 2020</w:t>
      </w:r>
    </w:p>
    <w:p>
      <w:r>
        <w:t>Bundesgericht, 2020-12-17, DE</w:t>
      </w:r>
    </w:p>
    <w:p>
      <w:r>
        <w:rPr>
          <w:b/>
        </w:rPr>
        <w:t xml:space="preserve">Quelle: </w:t>
      </w:r>
      <w:r>
        <w:t>https://mcp.opencaselaw.ch/entscheid/bger_6F_43_2020</w:t>
      </w:r>
    </w:p>
    <w:p>
      <w:r>
        <w:t>FR: TF 6F_43/2020 du 17 décembre 2020</w:t>
      </w:r>
    </w:p>
    <w:p>
      <w:r>
        <w:t>IT: TF 6F_43/2020 del 17 dicembre 2020</w:t>
      </w:r>
    </w:p>
    <w:p>
      <w:pPr>
        <w:pStyle w:val="Heading2"/>
      </w:pPr>
      <w:r>
        <w:t>Erwägungen</w:t>
      </w:r>
    </w:p>
    <w:p>
      <w:r>
        <w:rPr>
          <w:b/>
        </w:rPr>
        <w:t>E. 1</w:t>
      </w:r>
    </w:p>
    <w:p>
      <w:r>
        <w:t>Das Bundesgericht trat mit Urteil vom 4. November 2020 auf eine Beschwerde mangels hinreichender Begründung ( Art. 42 Abs. 2 BGG ) nicht ein.</w:t>
      </w:r>
    </w:p>
    <w:p>
      <w:r>
        <w:t>Dagegen wendet sich die Gesuchstellerin mit einem Revisionsgesuch an das Bundesgericht.</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 E. 2).</w:t>
      </w:r>
    </w:p>
    <w:p>
      <w:r>
        <w:rPr>
          <w:b/>
        </w:rPr>
        <w:t>E. 3</w:t>
      </w:r>
    </w:p>
    <w:p>
      <w:r>
        <w:t>Das Bundesgericht fällte am 4. November 2020 einen Nichteintretensentscheid, weil die Beschwerde keine den gesetzlichen Anforderungen genügende Begründung enthielt. Diese formellrechtliche Würdigung der seinerzeitigen Beschwerdeschrift lässt sich als solche im Revisionsverfahren nicht überprüfen. Die Gesuchstellerin zeigt in ihrer Eingabe vom 29. November 2020 nicht auf,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4</w:t>
      </w:r>
    </w:p>
    <w:p>
      <w:r>
        <w:t>Ausnahmsweise kann auf eine Kostenauflage verzichtet werden ( Art. 66 Abs. 1 BGG ). Das Gesuch um unentgeltliche Rechtspflege wird damit gegenstandslos.</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