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6F_3/2008 vom 1. Juli 2008</w:t>
      </w:r>
    </w:p>
    <w:p>
      <w:r>
        <w:t>Bundesgericht, 2008-07-01, FR</w:t>
      </w:r>
    </w:p>
    <w:p>
      <w:r>
        <w:rPr>
          <w:b/>
        </w:rPr>
        <w:t xml:space="preserve">Quelle: </w:t>
      </w:r>
      <w:r>
        <w:t>https://mcp.opencaselaw.ch/entscheid/bger_6F_3_2008</w:t>
      </w:r>
    </w:p>
    <w:p>
      <w:r>
        <w:t>FR: TF 6F_3/2008 du 1 juillet 2008</w:t>
      </w:r>
    </w:p>
    <w:p>
      <w:r>
        <w:t>IT: TF 6F_3/2008 del 1 luglio 2008</w:t>
      </w:r>
    </w:p>
    <w:p>
      <w:pPr>
        <w:pStyle w:val="Heading2"/>
      </w:pPr>
      <w:r>
        <w:t>Erwägungen</w:t>
      </w:r>
    </w:p>
    <w:p>
      <w:r>
        <w:rPr>
          <w:b/>
        </w:rPr>
        <w:t>E. 1</w:t>
      </w:r>
    </w:p>
    <w:p>
      <w:r>
        <w:t>Invoquant les art. 121 et 123 LTF , la requérante fait valoir que le Tribunal fédéral a omis de prendre en considération certains éléments déterminants.</w:t>
      </w:r>
    </w:p>
    <w:p>
      <w:r>
        <w:rPr>
          <w:b/>
        </w:rPr>
        <w:t>E. 1.1</w:t>
      </w:r>
    </w:p>
    <w:p>
      <w:r>
        <w:t>S'agissant de la révision en faveur du condamné, l' art. 123 al. 2 let. b LTF renvoie à l' art. 229 ch. 1 PPF . La lettre a de cette dernière disposition permet de demander la révision si des preuves ou faits décisifs, qui n'ont pas été soumis au tribunal, font douter de la culpabilité de l'accusé ou démontrent que l'infraction commise est moins grave que celle pour laquelle l'accusé a été condamné. Ce motif de révision suppose notamment que les preuves et faits invoqués soient décisifs, c'est-à-dire de nature à douter de la culpabilité du condamné ou de la gravité de l'infraction commise (E. Escher, in Bundesgerichtsgesetz, Basler Kommentar, n° 12 ad art. 123).</w:t>
      </w:r>
    </w:p>
    <w:p>
      <w:r>
        <w:t>Aux termes de l' art. 121 let . d LTF, la révision d'un arrêt du Tribunal fédéral peut être demandée si, par inadvertance, le tribunal n'a pas pris en considération des faits pertinents qui ressortent du dossier. L'inadvertance suppose notamment que les faits qui n'ont pas été pris en considération soient des faits pertinents, susceptibles d'entraîner une décision différente de celle qui a été prise et plus favorable au requérant ( ATF 122 II 17 consid. 3; 101 Ib 220 consid. 1).</w:t>
      </w:r>
    </w:p>
    <w:p>
      <w:r>
        <w:rPr>
          <w:b/>
        </w:rPr>
        <w:t>E. 1.2</w:t>
      </w:r>
    </w:p>
    <w:p>
      <w:r>
        <w:t>Dans son arrêt du 22 février 2008, le Tribunal fédéral a admis que les conditions de l'infraction de calomnie qualifiée étaient réalisées. En bref, il a constaté que les allégations que la requérante avait propagées à l'encontre de Y.________ (cf. supra consid. B.b) étaient attentatoires à l'honneur, que l'intéressée savait que celles-ci étaient fausses et qu'elle avait, de propos délibéré, cherché à ruiner la réputation de sa victime.</w:t>
      </w:r>
    </w:p>
    <w:p>
      <w:r>
        <w:t>Les faits invoqués par la requérante ne sont ni pertinents, ni décisifs au sens défini ci-dessus. En effet, savoir que, par lettre du 27 février 1996, l'opposant, agissant alors en qualité de mandataire de la requérante, a autorisé cette dernière à diffuser un courrier relatant les exactions commises à son encontre suite à l'arrêt du 23 janvier 1992, et que, par la suite, l'avocat a éventuellement substitué, devant les autorités, sa lettre du 27 février 1996 par un courrier du 12 juin 1997, est sans pertinence pour l'examen des conditions de l'infraction commise par l'intéressée à l'encontre de l'opposant. Ces faits ne sont pas de nature à conduire à un jugement différent de celui dont la révision est requise. Ils ne permettent pas davantage de douter de la culpabilité de la requérante ou de la qualification de l'infraction retenue. Par conséquent, ils ne constituent pas un motif de révision au sens des art. 123 al. 2 let. b et 121 let . d LTF.</w:t>
      </w:r>
    </w:p>
    <w:p>
      <w:r>
        <w:rPr>
          <w:b/>
        </w:rPr>
        <w:t>E. 2</w:t>
      </w:r>
    </w:p>
    <w:p>
      <w:r>
        <w:t>Sur le vu de qui précède, la demande de révision est rejetée. Comme celle-ci était d'emblée vouée à l'échec, l'assistance judiciaire ne peut être accordée ( art. 64 al. 1 LTF ) et la requérante doit supporter les frais, fixés en fonction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