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36/2023 vom 26. Februar 2024</w:t>
      </w:r>
    </w:p>
    <w:p>
      <w:r>
        <w:t>Bundesgericht, 2024-02-26, FR</w:t>
      </w:r>
    </w:p>
    <w:p>
      <w:r>
        <w:rPr>
          <w:b/>
        </w:rPr>
        <w:t xml:space="preserve">Quelle: </w:t>
      </w:r>
      <w:r>
        <w:t>https://mcp.opencaselaw.ch/entscheid/bger_6F_36_2023</w:t>
      </w:r>
    </w:p>
    <w:p>
      <w:r>
        <w:t>FR: TF 6F 36/2023 du 26 février 2024</w:t>
      </w:r>
    </w:p>
    <w:p>
      <w:r>
        <w:t>IT: TF 6F 36/2023 del 26 febbraio 2024</w:t>
      </w:r>
    </w:p>
    <w:p>
      <w:pPr>
        <w:pStyle w:val="Heading2"/>
      </w:pPr>
      <w:r>
        <w:t>Regeste</w:t>
      </w:r>
    </w:p>
    <w:p>
      <w:r>
        <w:t>Demande de révision de l'arrêt du Tribunal fédéral suisse du 16 août 2023 (6B_1319/2022) | Procédure pénale</w:t>
      </w:r>
    </w:p>
    <w:p>
      <w:pPr>
        <w:pStyle w:val="Heading2"/>
      </w:pPr>
      <w:r>
        <w:t>Erwägungen</w:t>
      </w:r>
    </w:p>
    <w:p>
      <w:r>
        <w:rPr>
          <w:b/>
        </w:rPr>
        <w:t>E. 1</w:t>
      </w:r>
    </w:p>
    <w:p>
      <w:r>
        <w:t>Conformément à l' art. 54 al. 1 LTF , le présent arrêt sera rendu en français, langue du jugement attaqué, même si le recours est rédigé en allemand, comme l'autorise l' art. 42 al. 1 LTF .</w:t>
      </w:r>
    </w:p>
    <w:p>
      <w:r>
        <w:rPr>
          <w:b/>
        </w:rPr>
        <w:t>E. 2</w:t>
      </w:r>
    </w:p>
    <w:p>
      <w:r>
        <w:t>La requérante invoque le motif de révision prévu par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 L'inadvertance au sens de cette disposition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6F_18/2022 du 10 août 2023 consid. 2.1; 6F_7/2021 du 1er octobre 2021 consid. 2.1; 6F_16/2020 du 3 juin 2020 consid. 2.1; 6F_13/2020 du 24 avril 2020 consid. 1.1). 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arrêts précités 6F_18/2022 consid. 2.1 6F_7/2021 consid. 2.1; 6F_16/2020 consid. 2.1; 6F_13/2020 consid. 1.1).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précités 6F_18/2022 consid. 2.1; 6F_7/2021 consid. 2.1; 6F_16/2020 consid. 2.1; 6F_13/2020 consid. 1.1).</w:t>
      </w:r>
    </w:p>
    <w:p>
      <w:r>
        <w:rPr>
          <w:b/>
        </w:rPr>
        <w:t>E. 2.2</w:t>
      </w:r>
    </w:p>
    <w:p>
      <w:r>
        <w:t>La requérante reproche en substance au Tribunal fédéral de ne pas avoir tenu compte de l'intitulé de son email du 12 février 2023 à C.________, "Zum Check mit Me D.________". Elle argue que cela signifierait qu'elle voulait que C.________ "vérifie" avec Me D.________ sa liste de salaires 2012 avec le bonus de 27'000 fr. mentionné, qui figurait en annexe et donc qu'elle était de bonne foi. Ce grief tombe à faux. Dans son arrêt, le Tribunal fédéral a examiné si c'était à bon droit que la cour cantonale avait considéré que l'email du 12 février 2013 intitulé "Zum Check mit Me D.________" ne constituait pas un moyen de preuve nouveau et sérieux au sens de l' art. 410 al. 1 let. a CPP (cf. arrêt attaqué, consid. 2.2.3). En tant que la requérante soutient que cet email démontrait qu'elle était de bonne foi et n'avait pas l'intention de commettre une gestion déloyale s'agissant des versements de bonus, elle s'en prend à l'appréciation juridique de la cour de céans, ce qui n'est pas admissible par la voie de la révision (cf. supra consid. 2.1). En tout état, le Tribunal fédéral a considéré que le seul fait que la requérante aurait envoyé un certificat de salaire en 2012 à son compagnon, C.________, qui comprenait une indication quant au bonus ne changeait rien à l'appréciation de la Cour d'appel pénale selon laquelle les pièces produites n'étaient pas propres à établir la bonne foi de l'intéressée, rappelant que les bonus avaient tous été signés de la seule main du prénommé, alors que toutes les augmentations salariales avaient toujours été signées par deux personnes autorisées, ce que la requérante savait (cf. arrêt attaqué, consid. 2.2.1 et 2.2.3). On ne voit dès lors pas en quoi le Tribunal fédéral n'aurait pas pris en considération un fait important par inadvertance au sens de l' art. 121 let . d LTF. Le grief est rejeté.</w:t>
      </w:r>
    </w:p>
    <w:p>
      <w:r>
        <w:rPr>
          <w:b/>
        </w:rPr>
        <w:t>E. 2.3</w:t>
      </w:r>
    </w:p>
    <w:p>
      <w:r>
        <w:t>La requérante fait ensuite grief au Tribunal fédéral de ne pas avoir pris en compte par erreur un fait important figurant au dossier, soit un courriel de l'intéressée du 2 mars 2015 (pièce 5) ainsi que ses annexes qui, selon elle, prouveraient clairement une absence d'intention de sa part s'agissant du chef d'accusation "versements de bonus". Elle fait en particulier valoir que cet email se réfère à un entretien du 12 février 2013 entre C.________ et Me D.________. Par jugement du 23 juin 2022, la cour cantonale avait considéré, en ce qui concernait la pièce 5 du bordereau de la requérante, qu'il s'agissait de courriels qu'elle s'était adressée à elle-même et parfois à C.________ en mars 2015, donc bien après l'octroi des bonus litigieux, dans lesquels elle se référait à ses propres courriels antérieurs, évoquait les déductions de sa déclaration d'impôt et procédait à différents calculs manuscrits dont on ne savait pas du tout sur quoi ils pouvaient bien porter. Relevant qu'on ne saurait même pas placer ces courriels dans un rapport de connexité avec les griefs élevés contre la requérante, la cour cantonale a considéré que ces pièces n'étaient pas de nature à permettre de modifier l'état de fait du jugement de la Cour d'appel pénale. En l'espèce, il est douteux que cet email - que la requérante déclare avoir "redécouvert" - constitue un moyen de preuve inconnu de la requérante au moment du jugement de condamnation. Pour le surplus, force est de constater que ledit email, intitulé "Steuern", est postérieur à l'octroi des bonus litigieux et ne fait pas référence à une discussion du 12 février 2013 au sujet des bonus. Quant aux annexes, ils consistent essentiellement en un email que la requérante s'est envoyée à elle-même et en des documents contenant des notes manuscrites. On ne voit dès lors pas en quoi ils constitueraient des moyens de preuve nouveaux et sérieux au sens de l' art. 410 al. 1 let. a CPP . Dans ces conditions, la requérante ne saurait reprocher au Tribunal fédéral de ne pas avoir pris en considération des faits pertinents par inadvertance.</w:t>
      </w:r>
    </w:p>
    <w:p>
      <w:r>
        <w:rPr>
          <w:b/>
        </w:rPr>
        <w:t>E. 2.4</w:t>
      </w:r>
    </w:p>
    <w:p>
      <w:r>
        <w:t>En conséquence, les considérants décisifs de l'arrêt attaqué ne résultent d'aucune inadvertance, de sorte que la demande de révision se révèle privée de fondement.</w:t>
      </w:r>
    </w:p>
    <w:p>
      <w:r>
        <w:rPr>
          <w:b/>
        </w:rPr>
        <w:t>E. 3</w:t>
      </w:r>
    </w:p>
    <w:p>
      <w:r>
        <w:t>Au vu de ce qui précède, la requête doit être rejetée dans la mesure où elle est recevable. La requérante, qui succombe, supportera les frais de la procédure de révision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