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32/2023 vom 23. April 2024</w:t>
      </w:r>
    </w:p>
    <w:p>
      <w:r>
        <w:t>Bundesgericht, 2024-04-23, FR</w:t>
      </w:r>
    </w:p>
    <w:p>
      <w:r>
        <w:rPr>
          <w:b/>
        </w:rPr>
        <w:t xml:space="preserve">Quelle: </w:t>
      </w:r>
      <w:r>
        <w:t>https://mcp.opencaselaw.ch/entscheid/bger_6F_32_2023</w:t>
      </w:r>
    </w:p>
    <w:p>
      <w:r>
        <w:t>FR: TF 6F 32/2023 du 23 avril 2024</w:t>
      </w:r>
    </w:p>
    <w:p>
      <w:r>
        <w:t>IT: TF 6F 32/2023 del 23 aprile 2024</w:t>
      </w:r>
    </w:p>
    <w:p>
      <w:pPr>
        <w:pStyle w:val="Heading2"/>
      </w:pPr>
      <w:r>
        <w:t>Regeste</w:t>
      </w:r>
    </w:p>
    <w:p>
      <w:r>
        <w:t>Demande de revision de l'arrêt du Tribunal fédéral suisse du 20 juin 2023 (6B_554/2022) | Procédure pénale</w:t>
      </w:r>
    </w:p>
    <w:p>
      <w:pPr>
        <w:pStyle w:val="Heading2"/>
      </w:pPr>
      <w:r>
        <w:t>Erwägungen</w:t>
      </w:r>
    </w:p>
    <w:p>
      <w:r>
        <w:rPr>
          <w:b/>
        </w:rPr>
        <w:t>E. 1</w:t>
      </w:r>
    </w:p>
    <w:p>
      <w:r>
        <w:t>La question de savoir si les demandeurs en révision sont valablement représentés devant le Tribunal fédéral (cf. art. 40 LTF ) souffre de rester indécise, compte tenu de ce qui suit. Compte tenu de ce qui suit également, il en va de même de la question de savoir si la demande a été formée en temps utile.</w:t>
      </w:r>
    </w:p>
    <w:p>
      <w:r>
        <w:rPr>
          <w:b/>
        </w:rPr>
        <w:t>E. 2</w:t>
      </w:r>
    </w:p>
    <w:p>
      <w:r>
        <w:t>La révision des arrêts du Tribunal fédéral ne peut être requise que pour l'un des motifs énoncés de manière exhaustive aux art. 121 à 123 LTF ( ATF 147 III 238 consid. 1.1).</w:t>
      </w:r>
    </w:p>
    <w:p>
      <w:r>
        <w:rPr>
          <w:b/>
        </w:rPr>
        <w:t>E. 3.1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visé par l' art. 121 LTF (let. a), la demande de révision doit être déposée devant le Tribunal fédéral dans les 30 jours qui suivent la découverte du motif de récusation ( art. 124 al. 1 let. a LTF ), dans les autres cas visés par l' art. 121 LTF (let. b à d), dans les 30 jours qui suivent la notification de l'expédition complète de l'arrêt ( art. 124 al. 1 let. b LTF ; cf. arrêts 6F_38/2023 du 6 novembre 2023; consid. 1; 6F_14/2023 du 28 juin 2023 consid. 1).</w:t>
      </w:r>
    </w:p>
    <w:p>
      <w:r>
        <w:rPr>
          <w:b/>
        </w:rPr>
        <w:t>E. 3.2</w:t>
      </w:r>
    </w:p>
    <w:p>
      <w:r>
        <w:t>À teneur de l' art. 123 LTF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(al. 1). L' art. 123 al. 2 let. b LTF prévoit en outre que la révision peut être demandée, dans les affaires pénales, si les conditions fixées à l'art. 410 al. 1, let. a et b, et 2 CPP sont remplies (al. 2 let. b). L' art. 410 al. 1 CPP permet une demande de révision s'il existe des faits ou des moyens de preuves qui étaient inconnus de l'autorité inférieure et qui sont de nature à motiver l'acquittement ou une condamnation sensiblement moins sévère ou plus sévère du condamné ou encore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si la procédure pénale ne peut être exécutée, la preuve peut être apportée d'une autre manière (let. c). Lorsque les motifs de révision sont fondés sur l' art. 123 LTF , la demande de révision doit être déposée dans les 90 jours qui suivent la découverte du motif de révision, mais au plus tôt cependant dès la notification de l'expédition complète de l'arrêt ou dès la clôture de la procédure pénale ( art. 124 al. 1 let . d LTF; cf. arrêt 6F_42/2023 du 29 novembre 2023 consid. 1.2.1). Ces délais ne peuvent pas être prolongés ( art. 47 al. 1 LTF ).</w:t>
      </w:r>
    </w:p>
    <w:p>
      <w:r>
        <w:rPr>
          <w:b/>
        </w:rPr>
        <w:t>E. 3.3</w:t>
      </w:r>
    </w:p>
    <w:p>
      <w:r>
        <w:t>À teneur de l' art. 42 LTF , qui s'applique également en matière de révision (cf. parmi d'autres: arrêt 6F_42/2023 précité consid. 1.2.1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 6F_42/2023 du 29 précité consid. 1.2.1 et les arrêts cités).</w:t>
      </w:r>
    </w:p>
    <w:p>
      <w:r>
        <w:rPr>
          <w:b/>
        </w:rPr>
        <w:t>E. 4</w:t>
      </w:r>
    </w:p>
    <w:p>
      <w:r>
        <w:t>En l'espèce, les demandeurs en révision font référence aux art. 121 à 123 LTF. Il sied d'emblée de préciser que l' art. 122 LTF n'entre manifestement pas en ligne de compte. En outre, autant qu'il y est fait mention à l' art. 121 al. 1 let . d LTF, la demande de révision n'est pas motivée à satisfaction de droit et l'on ne discerne pas en quoi le motif en question, compte tenu de la teneur de l'arrêt objet de la demande de révision et de ses motifs, serait susceptible d'entrer en ligne de compte. De même, s'agissant de l'invocation de l' art. 123 LTF , la demande n'est pas motivée à satisfaction de droit pour permettre d'en comprendre les tenants et aboutissants et de considérer la réalisation d'un motif de révision sous cet angle.</w:t>
      </w:r>
    </w:p>
    <w:p>
      <w:r>
        <w:rPr>
          <w:b/>
        </w:rPr>
        <w:t>E. 5</w:t>
      </w:r>
    </w:p>
    <w:p>
      <w:r>
        <w:t>Au vu de ce qui précède, la demande de révision doit être déclarée irrecevable, faute de satisfaire aux exigences de motivation (cf. art. 42 al. 2 LTF ). Il peut exceptionnellement être statué sans frais (cf.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