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32/2015 vom 16. Februar 2016</w:t>
      </w:r>
    </w:p>
    <w:p>
      <w:r>
        <w:t>Bundesgericht, 2016-02-16, DE</w:t>
      </w:r>
    </w:p>
    <w:p>
      <w:r>
        <w:rPr>
          <w:b/>
        </w:rPr>
        <w:t xml:space="preserve">Quelle: </w:t>
      </w:r>
      <w:r>
        <w:t>https://mcp.opencaselaw.ch/entscheid/bger_6F_32_2015</w:t>
      </w:r>
    </w:p>
    <w:p>
      <w:r>
        <w:t>FR: TF 6F 32/2015 du 16 février 2016</w:t>
      </w:r>
    </w:p>
    <w:p>
      <w:r>
        <w:t>IT: TF 6F 32/2015 del 16 febbraio 2016</w:t>
      </w:r>
    </w:p>
    <w:p>
      <w:pPr>
        <w:pStyle w:val="Heading2"/>
      </w:pPr>
      <w:r>
        <w:t>Regeste</w:t>
      </w:r>
    </w:p>
    <w:p>
      <w:r>
        <w:t>Revision des Urteils des Bundesgerichts 6B_911/2015 vom 9. November 2015 | Strafprozess</w:t>
      </w:r>
    </w:p>
    <w:p>
      <w:pPr>
        <w:pStyle w:val="Heading2"/>
      </w:pPr>
      <w:r>
        <w:t>Erwägungen</w:t>
      </w:r>
    </w:p>
    <w:p>
      <w:r>
        <w:rPr>
          <w:b/>
        </w:rPr>
        <w:t>E. 1</w:t>
      </w:r>
    </w:p>
    <w:p>
      <w:r>
        <w:t>Auf die Beschwerde wurde mit der Begründung nicht eingetreten, dass der Rechtsvertreter nicht legitimiert ist, einen Prozess im eigenen Interesse zu führen. Die Gründe wurden im Urteil dargelegt. Ob das Bundesgericht die Legitimation allenfalls unrichtig beurteilt hat, bildet keinen Revisionsgrund. Die Revision dient nicht dazu, um angebliche Rechtsfehler zu korrigieren (ELISABETH ESCHER, in: Basler Kommentar, Bundesgerichtsgesetz, 2. Aufl. 2011, N. 21 zu Art. 121 BGG ). Es versteht sich von selbst, dass Anträge an sich unbeurteilt bleiben, wenn mangels Legitimation auf eine Beschwerde nicht eingetreten wird. Die Revision kann sich nur auf die Eintretensfrage beziehen.</w:t>
      </w:r>
    </w:p>
    <w:p>
      <w:r>
        <w:rPr>
          <w:b/>
        </w:rPr>
        <w:t>E. 2</w:t>
      </w:r>
    </w:p>
    <w:p>
      <w:r>
        <w:t>Der Gesuchsteller begründet sein Gesuch mit Verletzungen von Verfahrensvorschriften, indem "einzelne Anträge unbeurteilt geblieben sind" ( Art. 121 lit. c BGG ) und "das Gericht in den Akten liegende erhebliche Tatsachen aus Versehen nicht berücksichtigt hat" ( Art. 121 lit. d BGG ). Im Gesuch wird auf die Nichtzitierung eines Bestandteils des Rechtsbegehrens Ziff. 2 (" zu Gunsten des Beschwerdeführers") in der bundesgerichtlichen Erwägung 1.3 ( den "Betrag von Fr. 1'250.-- dem Unterzeichneten [...] zurückzuzahlen") verwiesen. In diesem Zitat wird die Kürzung explizit mit Auslassungspunkten gekennzeichnet (Duden, Die deutsche Rechtschreibung, 26. Aufl. 2013, K17), so dass von einer Nichtbeurteilung im Sinne einer Nichtkenntnisnahme nicht die Rede sein kann. Das Rechtsbegehren Ziff. 2 wurde im Sachverhalt mit vollem Wortlaut zitiert. Auf das Begehren Ziff. 3 wurde ausdrücklich nicht eingetreten, und die Begehren Ziffn. 1 und 4 sowie das Gesuch um unentgeltliche Rechtspflege vor Bundesgericht wurden ausgangsgemäss entschieden. Ein Revisionsgrund im Sinne von Art. 121 lit. c BGG ist nicht gegeben. Dem Gesuch ist eine vom 18. März 2013 datierte (Standard-) Vollmacht in Kopie beigelegt, aus welcher sich ergibt, dass der Rechtsvertreter u.a. berechtigt ist, "Gelder und andere Vermögenswerte zu empfangen und herauszugeben". Soweit ersichtlich, soll damit die Versehensrüge ( Art. 121 lit. d BGG ) belegt sein. Das ist unbehelflich. Auf Versehen beruht eine Feststellung nur, wenn sie darauf zurückzuführen ist, dass das Bundesgericht eine bestimmte Aktenstelle übersehen oder unrichtig (nicht in ihrer wahren Gestalt, insbesondere nicht mit ihrem wirklichen Wortlaut) wahrgenommen hat (NIKLAUS OBERHOLZER, in: Hansjörg Seiler et al., Bundesgerichtsgesetz, 2. Aufl. 2015, N. 22 zu Art. 121 BGG ; ESCHER, a.a.O., N. 9 zu Art. 121 BGG ). Der Gesuchsteller nennt keine in den Akten liegende Tatsachen, die das Bundesgericht aus Versehen nicht berücksichtigt hat. Er stellt sich allein auf den Standpunkt, die Tatsachen hätten anders gewürdigt werden müssen. Auch dies bildet keinen Revisionsgrund.</w:t>
      </w:r>
    </w:p>
    <w:p>
      <w:r>
        <w:rPr>
          <w:b/>
        </w:rPr>
        <w:t>E. 3</w:t>
      </w:r>
    </w:p>
    <w:p>
      <w:r>
        <w:t>Auf die Beschwerde war auch in der Sache nicht einzutreten.</w:t>
      </w:r>
    </w:p>
    <w:p>
      <w:r>
        <w:rPr>
          <w:b/>
        </w:rPr>
        <w:t>E. 3.1</w:t>
      </w:r>
    </w:p>
    <w:p>
      <w:r>
        <w:t>Es drängt sich auf, im Rahmen eines obiter dictum zunächst auf die allgemeine Rechtslage hinzuweisen: Der Bundesgesetzgeber verzichtete ausdrücklich darauf, in Art. 83 Abs. 2 StGB näher über die Verwendung des Arbeitsentgelts zu legiferieren. Massgebend ist das kantonale Recht (Art 19 V-StGB-MStG). Das Gesetz will Gefangenen ermöglichen, [auch] "den nicht frei verfügbaren Teil ihres Verdienstanteils bereits während des Vollzugs mit Zustimmung der Anstaltsleitung für geeignete Zwecke wie beispielsweise Familienunterstützung [...] einzusetzen" (Botschaft zur Änderung des StGB [...] vom 21. September 1998, BBl 1999 2117). In diesem Sinne wird die Gesetzgebung in der Praxis von Anfang an verstanden (HANSJAKOB/SCHMITT/SOLLBERGER, Kommentierte Textausgabe zum revidierten Strafgesetzbuch, 2. Aufl. 2006, Art. 83 StGB ). Das Arbeitsentgelt darf in "verhältnismässiger" Weise herangezogen werden ( Art. 5 Abs. 2 BV ; zu dieser Verfassungsnorm BGE 140 II 194 E. 5.8.2). Die Vormundschaft über Minderjährige ist neu im Kindesschutzrecht geregelt. Die Vormundin hat in Ersetzung der Eltern deren Aufgabenbereich zu übernehmen (TUOR/SCHNYDER/JUNGO, ZGB, 14. Aufl. 2015, S. 539 Rz. 38) und erhielt in dieser Funktion eine Parteientschädigung zugesprochen (oben Bst. A; zu Pflichten und Entschädigung des Prozessbeistands des Kindes vgl. zur Veröffentlichung bestimmtes Urteil 5A_52/2015 vom 17. Dezember 2015). Kosten von Kindesschutzmassnahmen gehören zum Unterhaltsanspruch des Kindes ( Art. 276 Abs. 1 ZGB ). Ist ein Elternteil gestorben, trägt der andere die Unterhaltslast alleine. Staatliche Unterstützung ist nur dann nötig, wenn kein Elternteil in der Lage ist, für den gebührenden Unterhalt des Kindes aufzukommen ( BGE 141 III 401 E. 4 und E. 4.1).</w:t>
      </w:r>
    </w:p>
    <w:p>
      <w:r>
        <w:rPr>
          <w:b/>
        </w:rPr>
        <w:t>E. 3.2</w:t>
      </w:r>
    </w:p>
    <w:p>
      <w:r>
        <w:t>Im Beschwerde- wie im Revisionsverfahren wird beantragt, das DVI "anzuweisen, den bereits dem Beschwerdeführer weggenommenen Betrag von Fr. 1'250.-- dem Unterzeichneten zu Gunsten des Beschwerdeführers zurückzuzahlen" (oben Bst. B und C). Diese Anträge werden mit einer gegen den Willen des Insassen und deshalb als rechtswidrig behaupteten Überweisung an die Vormundin durch die Direktion der JVA Lenzburg begründet. Dabei würde es sich um eine Haftung des Staates aus fehlerhafter Handlung eines Beamten ( Art. 110 Abs. 3 StGB ; BGE 141 IV 329 E. 1.3) handeln und damit um die nach kantonalem Staatshaftungsrecht zu beurteilende Frage, ob der Staat dem Insassen für die von der Direktion vorgenommene Überweisung Schadenersatz zu leisten hat. Zur Beurteilung dieser Frage und Anweisung an das DVI war und ist das Bundesgericht weder im Beschwerde- noch im Revisionsverfahren zuständig.</w:t>
      </w:r>
    </w:p>
    <w:p>
      <w:r>
        <w:rPr>
          <w:b/>
        </w:rPr>
        <w:t>E. 4</w:t>
      </w:r>
    </w:p>
    <w:p>
      <w:r>
        <w:t>Auf das Revisionsgesuch ist nicht einzutreten. Das Gesuch um unentgeltliche Rechtspflege (und Verbeiständung) ist wegen Aussichtslosigkeit des Rechtsbegehrens abzuweisen ( Art. 29 Abs. 3 BV ; Art. 64 BGG ). Unnötige Kosten hat zu bezahlen, wer sie verursacht hat ( Art. 66 Abs. 3 BGG ). Das Gericht kann ausnahmsweise die Gerichtskosten anstatt der unterliegenden Partei ihrem Rechtsvertreter auferlegen ( BGE 129 IV 206 E. 2.2; vgl. BGE 141 III 426 E. 2.4.1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