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6F_31/2016 vom 14. Dezember 2017</w:t>
      </w:r>
    </w:p>
    <w:p>
      <w:r>
        <w:t>Bundesgericht, 2017-12-14, DE</w:t>
      </w:r>
    </w:p>
    <w:p>
      <w:r>
        <w:rPr>
          <w:b/>
        </w:rPr>
        <w:t xml:space="preserve">Quelle: </w:t>
      </w:r>
      <w:r>
        <w:t>https://mcp.opencaselaw.ch/entscheid/bger_6F_31_2016</w:t>
      </w:r>
    </w:p>
    <w:p>
      <w:r>
        <w:t>FR: TF 6F_31/2016 du 14 décembre 2017</w:t>
      </w:r>
    </w:p>
    <w:p>
      <w:r>
        <w:t>IT: TF 6F_31/2016 del 14 dicembre 2017</w:t>
      </w:r>
    </w:p>
    <w:p>
      <w:pPr>
        <w:pStyle w:val="Heading2"/>
      </w:pPr>
      <w:r>
        <w:t>Erwägungen</w:t>
      </w:r>
    </w:p>
    <w:p>
      <w:r>
        <w:rPr>
          <w:b/>
        </w:rPr>
        <w:t>E. 1.1</w:t>
      </w:r>
    </w:p>
    <w:p>
      <w:r>
        <w:t>Die Gesuchsteller berufen sich auf den Revisionsgrund gemäss Art. 123 Abs. 2 lit. b BGG in Verbindung mit Art. 410 Abs. 1 lit. a StPO . Danach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rPr>
          <w:b/>
        </w:rPr>
        <w:t>E. 1.2</w:t>
      </w:r>
    </w:p>
    <w:p>
      <w:r>
        <w:t>Zur Begründung bringen die Gesuchsteller vor, im Rahmen der aufgrund des bundesgerichtlichen Rückweisungsentscheids vom 17. November 2015 erfolgten Überprüfung des Zivilpunktes habe die Vorinstanz von der Gesuchsgegnerin 2 eine E-Mail von Dr. D.________ (damaliger Rechtsvertreter der Gesuchsteller) an Dr. E.________ (damaliger Rechtsvertreter der Gesuchsgegnerin 2) vom 23. September 2008 einverlangt. In ihrem Urteil vom 21. Juli 2016 habe die Vorinstanz alsdann die tatsächliche Feststellung getroffen, dass sich der gesamte Inhalt der unter den Parteien im Vorfeld der Vereinbarung vom 24. September 2008 geführten Diskussionen aus dem Inhalt dieser E-Mail ergebe. Dabei handle es sich um eine neue Tatsache, die dem Bundesgericht im Zeitpunkt seines Urteils vom 17. November 2015 nicht bekannt gewesen sei, da der vollständige Inhalt dieser E-Mail erst am 11. April 2016 zu den Akten gegeben worden sei.</w:t>
      </w:r>
    </w:p>
    <w:p>
      <w:r>
        <w:rPr>
          <w:b/>
        </w:rPr>
        <w:t>E. 1.3</w:t>
      </w:r>
    </w:p>
    <w:p>
      <w:r>
        <w:t>Nach der Rechtsprechung der Strafrechtlichen Abteilung kommt die Revision eines Entscheids des Bundesgerichts in Strafsachen wegen neuer Tatsachen und Beweismittel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Urteile 6F_17/2012 vom 19. Dezember 2012 E. 2.2; 1F_15/2007 vom 21. Dezember 2007 E. 3.2; siehe auch Urteil 6B_389/2012 vom 6. November 2012 E. 4.3; je mit Hinweis).</w:t>
      </w:r>
    </w:p>
    <w:p>
      <w:r>
        <w:rPr>
          <w:b/>
        </w:rPr>
        <w:t>E. 1.4</w:t>
      </w:r>
    </w:p>
    <w:p>
      <w:r>
        <w:t>Mit dem Urteil 6B_493+494/2014 vom 17. November 2015 hiess das Bundesgericht die Beschwerden der Gesuchsteller gegen das Urteil des Appellationsgerichts des Kantons Basel-Stadt vom 10. Januar 2014 teilweise gut, soweit es darauf eintrat. Dabei überprüfte es die Sachverhaltsfeststellung der Vorinstanz, soweit die Beschwerden den Begründungsanforderungen genügten, und befand sie für willkürfrei. Eigene Sachverhaltsfeststellungen traf es hingegen keine. Die Revision des betreffenden bundesgerichtlichen Urteils wegen neuer Tatsachen und Beweismittel kommt gemäss der zuvor erwähnten Rechtsprechung somit nicht in Betracht.</w:t>
      </w:r>
    </w:p>
    <w:p>
      <w:r>
        <w:rPr>
          <w:b/>
        </w:rPr>
        <w:t>E. 2</w:t>
      </w:r>
    </w:p>
    <w:p>
      <w:r>
        <w:t>Auf das Revisionsgesuch ist nicht einzutreten. Die Gerichtskosten sind den Gesuchstellern je zur Hälfte unter solidarischer Haftung aufzuerlegen ( Art. 66 Abs. 1 BGG ).</w:t>
      </w:r>
    </w:p>
    <w:p>
      <w:r>
        <w:t>Der Gesuchsgegnerin 2 haben sie keine Entschädigung zu zahlen, da dieser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